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641EFF">
      <w:pPr>
        <w:spacing w:line="500" w:lineRule="exact"/>
        <w:rPr>
          <w:rFonts w:hint="eastAsia" w:asciiTheme="majorEastAsia" w:hAnsiTheme="majorEastAsia" w:eastAsiaTheme="majorEastAsia" w:cstheme="majorEastAsia"/>
          <w:sz w:val="22"/>
          <w:szCs w:val="28"/>
        </w:rPr>
      </w:pPr>
      <w:r>
        <w:rPr>
          <w:rFonts w:hint="eastAsia" w:asciiTheme="majorEastAsia" w:hAnsiTheme="majorEastAsia" w:eastAsiaTheme="majorEastAsia" w:cstheme="majorEastAsia"/>
          <w:sz w:val="22"/>
          <w:szCs w:val="28"/>
        </w:rPr>
        <w:t>吉林省全民健康数据中心网络运维服务公开招标文件</w:t>
      </w:r>
    </w:p>
    <w:p w14:paraId="1B05C45A">
      <w:pPr>
        <w:spacing w:line="500" w:lineRule="exact"/>
        <w:rPr>
          <w:rFonts w:hint="eastAsia" w:asciiTheme="majorEastAsia" w:hAnsiTheme="majorEastAsia" w:eastAsiaTheme="majorEastAsia" w:cstheme="majorEastAsia"/>
          <w:sz w:val="22"/>
          <w:szCs w:val="28"/>
        </w:rPr>
      </w:pPr>
      <w:r>
        <w:rPr>
          <w:rFonts w:hint="eastAsia" w:asciiTheme="majorEastAsia" w:hAnsiTheme="majorEastAsia" w:eastAsiaTheme="majorEastAsia" w:cstheme="majorEastAsia"/>
          <w:sz w:val="22"/>
          <w:szCs w:val="28"/>
          <w:lang w:eastAsia="zh-CN"/>
        </w:rPr>
        <w:t>招采</w:t>
      </w:r>
      <w:r>
        <w:rPr>
          <w:rFonts w:hint="eastAsia" w:asciiTheme="majorEastAsia" w:hAnsiTheme="majorEastAsia" w:eastAsiaTheme="majorEastAsia" w:cstheme="majorEastAsia"/>
          <w:sz w:val="22"/>
          <w:szCs w:val="28"/>
        </w:rPr>
        <w:t>项目</w:t>
      </w:r>
      <w:r>
        <w:rPr>
          <w:rFonts w:hint="eastAsia" w:asciiTheme="majorEastAsia" w:hAnsiTheme="majorEastAsia" w:eastAsiaTheme="majorEastAsia" w:cstheme="majorEastAsia"/>
          <w:sz w:val="22"/>
          <w:szCs w:val="28"/>
          <w:lang w:eastAsia="zh-CN"/>
        </w:rPr>
        <w:t>名称</w:t>
      </w:r>
      <w:r>
        <w:rPr>
          <w:rFonts w:hint="eastAsia" w:asciiTheme="majorEastAsia" w:hAnsiTheme="majorEastAsia" w:eastAsiaTheme="majorEastAsia" w:cstheme="majorEastAsia"/>
          <w:sz w:val="22"/>
          <w:szCs w:val="28"/>
        </w:rPr>
        <w:t>：吉林省全民健康数据中心网络运维服务</w:t>
      </w:r>
    </w:p>
    <w:p w14:paraId="474A6E83">
      <w:pPr>
        <w:spacing w:line="500" w:lineRule="exact"/>
        <w:rPr>
          <w:rFonts w:hint="eastAsia" w:asciiTheme="majorEastAsia" w:hAnsiTheme="majorEastAsia" w:eastAsiaTheme="majorEastAsia" w:cstheme="majorEastAsia"/>
          <w:sz w:val="22"/>
          <w:szCs w:val="28"/>
        </w:rPr>
      </w:pPr>
      <w:r>
        <w:rPr>
          <w:rFonts w:hint="eastAsia" w:asciiTheme="majorEastAsia" w:hAnsiTheme="majorEastAsia" w:eastAsiaTheme="majorEastAsia" w:cstheme="majorEastAsia"/>
          <w:sz w:val="22"/>
          <w:szCs w:val="28"/>
        </w:rPr>
        <w:t>采购人：吉林省卫生健康信息中心</w:t>
      </w:r>
    </w:p>
    <w:p w14:paraId="0D7E6BD0">
      <w:pPr>
        <w:spacing w:line="500" w:lineRule="exact"/>
        <w:rPr>
          <w:rFonts w:hint="eastAsia" w:asciiTheme="majorEastAsia" w:hAnsiTheme="majorEastAsia" w:eastAsiaTheme="majorEastAsia" w:cstheme="majorEastAsia"/>
          <w:sz w:val="22"/>
          <w:szCs w:val="28"/>
        </w:rPr>
      </w:pPr>
      <w:r>
        <w:rPr>
          <w:rFonts w:hint="eastAsia" w:asciiTheme="majorEastAsia" w:hAnsiTheme="majorEastAsia" w:eastAsiaTheme="majorEastAsia" w:cstheme="majorEastAsia"/>
          <w:sz w:val="22"/>
          <w:szCs w:val="28"/>
        </w:rPr>
        <w:t>采购方式：公开招标</w:t>
      </w:r>
    </w:p>
    <w:p w14:paraId="45FAC455">
      <w:pPr>
        <w:spacing w:line="500" w:lineRule="exact"/>
        <w:rPr>
          <w:rFonts w:hint="eastAsia" w:asciiTheme="majorEastAsia" w:hAnsiTheme="majorEastAsia" w:eastAsiaTheme="majorEastAsia" w:cstheme="majorEastAsia"/>
          <w:sz w:val="22"/>
          <w:szCs w:val="28"/>
        </w:rPr>
      </w:pPr>
      <w:r>
        <w:rPr>
          <w:rFonts w:hint="eastAsia" w:asciiTheme="majorEastAsia" w:hAnsiTheme="majorEastAsia" w:eastAsiaTheme="majorEastAsia" w:cstheme="majorEastAsia"/>
          <w:sz w:val="22"/>
          <w:szCs w:val="28"/>
        </w:rPr>
        <w:t>评标办法：综合评分法</w:t>
      </w:r>
    </w:p>
    <w:p w14:paraId="404ACC71">
      <w:pPr>
        <w:spacing w:line="500" w:lineRule="exact"/>
        <w:rPr>
          <w:rFonts w:hint="eastAsia" w:asciiTheme="majorEastAsia" w:hAnsiTheme="majorEastAsia" w:eastAsiaTheme="majorEastAsia" w:cstheme="majorEastAsia"/>
          <w:sz w:val="22"/>
          <w:szCs w:val="28"/>
        </w:rPr>
      </w:pPr>
      <w:r>
        <w:rPr>
          <w:rFonts w:hint="eastAsia" w:asciiTheme="majorEastAsia" w:hAnsiTheme="majorEastAsia" w:eastAsiaTheme="majorEastAsia" w:cstheme="majorEastAsia"/>
          <w:sz w:val="22"/>
          <w:szCs w:val="28"/>
        </w:rPr>
        <w:t>服务期限：1年</w:t>
      </w:r>
    </w:p>
    <w:p w14:paraId="1091E38B">
      <w:pPr>
        <w:spacing w:line="500" w:lineRule="exact"/>
        <w:rPr>
          <w:rFonts w:hint="eastAsia" w:asciiTheme="majorEastAsia" w:hAnsiTheme="majorEastAsia" w:eastAsiaTheme="majorEastAsia" w:cstheme="majorEastAsia"/>
          <w:sz w:val="22"/>
          <w:szCs w:val="28"/>
        </w:rPr>
      </w:pPr>
      <w:r>
        <w:rPr>
          <w:rFonts w:hint="eastAsia" w:asciiTheme="majorEastAsia" w:hAnsiTheme="majorEastAsia" w:eastAsiaTheme="majorEastAsia" w:cstheme="majorEastAsia"/>
          <w:sz w:val="22"/>
          <w:szCs w:val="28"/>
        </w:rPr>
        <w:t>采购预算：16万元（最高限价同预算，报价超限价投标无效）</w:t>
      </w:r>
    </w:p>
    <w:p w14:paraId="47D312D4">
      <w:pPr>
        <w:spacing w:line="500" w:lineRule="exact"/>
        <w:rPr>
          <w:rFonts w:hint="eastAsia" w:asciiTheme="majorEastAsia" w:hAnsiTheme="majorEastAsia" w:eastAsiaTheme="majorEastAsia" w:cstheme="majorEastAsia"/>
          <w:sz w:val="22"/>
          <w:szCs w:val="28"/>
        </w:rPr>
      </w:pPr>
      <w:r>
        <w:rPr>
          <w:rFonts w:hint="eastAsia" w:asciiTheme="majorEastAsia" w:hAnsiTheme="majorEastAsia" w:eastAsiaTheme="majorEastAsia" w:cstheme="majorEastAsia"/>
          <w:sz w:val="22"/>
          <w:szCs w:val="28"/>
        </w:rPr>
        <w:t>适用法规：《中华人民共和国政府采购法》《中华人民共和国政府采购法实施条例》、财政部87号令、财库〔2021〕22号等</w:t>
      </w:r>
    </w:p>
    <w:p w14:paraId="078625DC">
      <w:pPr>
        <w:spacing w:after="240" w:line="500" w:lineRule="exact"/>
        <w:jc w:val="center"/>
        <w:rPr>
          <w:rFonts w:hint="eastAsia" w:asciiTheme="majorEastAsia" w:hAnsiTheme="majorEastAsia" w:eastAsiaTheme="majorEastAsia" w:cstheme="majorEastAsia"/>
          <w:kern w:val="44"/>
          <w:sz w:val="32"/>
          <w:szCs w:val="36"/>
        </w:rPr>
        <w:sectPr>
          <w:headerReference r:id="rId3" w:type="default"/>
          <w:footerReference r:id="rId4" w:type="default"/>
          <w:pgSz w:w="11906" w:h="16839"/>
          <w:pgMar w:top="1166" w:right="1764" w:bottom="1362" w:left="1785" w:header="829" w:footer="1200" w:gutter="0"/>
          <w:pgNumType w:start="1"/>
          <w:cols w:space="720" w:num="1"/>
        </w:sectPr>
      </w:pPr>
    </w:p>
    <w:p w14:paraId="40673067">
      <w:pPr>
        <w:pStyle w:val="22"/>
        <w:rPr>
          <w:rFonts w:hint="eastAsia"/>
        </w:rPr>
      </w:pPr>
      <w:r>
        <w:t>目录</w:t>
      </w:r>
    </w:p>
    <w:p w14:paraId="51B8C432">
      <w:pPr>
        <w:spacing w:line="500" w:lineRule="exact"/>
        <w:rPr>
          <w:rFonts w:hint="eastAsia" w:asciiTheme="majorEastAsia" w:hAnsiTheme="majorEastAsia" w:eastAsiaTheme="majorEastAsia" w:cstheme="majorEastAsia"/>
        </w:rPr>
      </w:pPr>
      <w:r>
        <w:rPr>
          <w:rFonts w:hint="eastAsia" w:asciiTheme="majorEastAsia" w:hAnsiTheme="majorEastAsia" w:eastAsiaTheme="majorEastAsia" w:cstheme="majorEastAsia"/>
        </w:rPr>
        <w:t>第一章 招标公告</w:t>
      </w:r>
    </w:p>
    <w:p w14:paraId="384B97C5">
      <w:pPr>
        <w:spacing w:line="500" w:lineRule="exact"/>
        <w:rPr>
          <w:rFonts w:hint="eastAsia" w:asciiTheme="majorEastAsia" w:hAnsiTheme="majorEastAsia" w:eastAsiaTheme="majorEastAsia" w:cstheme="majorEastAsia"/>
        </w:rPr>
      </w:pPr>
      <w:r>
        <w:rPr>
          <w:rFonts w:hint="eastAsia" w:asciiTheme="majorEastAsia" w:hAnsiTheme="majorEastAsia" w:eastAsiaTheme="majorEastAsia" w:cstheme="majorEastAsia"/>
        </w:rPr>
        <w:t>第二章 投标人须知</w:t>
      </w:r>
    </w:p>
    <w:p w14:paraId="470A1FBB">
      <w:pPr>
        <w:spacing w:line="500" w:lineRule="exact"/>
        <w:rPr>
          <w:rFonts w:hint="eastAsia" w:asciiTheme="majorEastAsia" w:hAnsiTheme="majorEastAsia" w:eastAsiaTheme="majorEastAsia" w:cstheme="majorEastAsia"/>
        </w:rPr>
      </w:pPr>
      <w:r>
        <w:rPr>
          <w:rFonts w:hint="eastAsia" w:asciiTheme="majorEastAsia" w:hAnsiTheme="majorEastAsia" w:eastAsiaTheme="majorEastAsia" w:cstheme="majorEastAsia"/>
        </w:rPr>
        <w:t>第三章 采购需求</w:t>
      </w:r>
    </w:p>
    <w:p w14:paraId="6A70277E">
      <w:pPr>
        <w:spacing w:line="500" w:lineRule="exact"/>
        <w:rPr>
          <w:rFonts w:hint="eastAsia" w:asciiTheme="majorEastAsia" w:hAnsiTheme="majorEastAsia" w:eastAsiaTheme="majorEastAsia" w:cstheme="majorEastAsia"/>
        </w:rPr>
      </w:pPr>
      <w:r>
        <w:rPr>
          <w:rFonts w:hint="eastAsia" w:asciiTheme="majorEastAsia" w:hAnsiTheme="majorEastAsia" w:eastAsiaTheme="majorEastAsia" w:cstheme="majorEastAsia"/>
        </w:rPr>
        <w:t>第四章 评标办法（综合评分法）</w:t>
      </w:r>
    </w:p>
    <w:p w14:paraId="6BA7EF74">
      <w:pPr>
        <w:spacing w:line="500" w:lineRule="exact"/>
        <w:rPr>
          <w:rFonts w:hint="eastAsia" w:asciiTheme="majorEastAsia" w:hAnsiTheme="majorEastAsia" w:eastAsiaTheme="majorEastAsia" w:cstheme="majorEastAsia"/>
        </w:rPr>
      </w:pPr>
      <w:r>
        <w:rPr>
          <w:rFonts w:hint="eastAsia" w:asciiTheme="majorEastAsia" w:hAnsiTheme="majorEastAsia" w:eastAsiaTheme="majorEastAsia" w:cstheme="majorEastAsia"/>
        </w:rPr>
        <w:t>第五章 合同主要条款</w:t>
      </w:r>
    </w:p>
    <w:p w14:paraId="249A1773">
      <w:pPr>
        <w:spacing w:line="500" w:lineRule="exact"/>
        <w:rPr>
          <w:rFonts w:hint="eastAsia" w:asciiTheme="majorEastAsia" w:hAnsiTheme="majorEastAsia" w:eastAsiaTheme="majorEastAsia" w:cstheme="majorEastAsia"/>
        </w:rPr>
      </w:pPr>
      <w:r>
        <w:rPr>
          <w:rFonts w:hint="eastAsia" w:asciiTheme="majorEastAsia" w:hAnsiTheme="majorEastAsia" w:eastAsiaTheme="majorEastAsia" w:cstheme="majorEastAsia"/>
        </w:rPr>
        <w:t>第六章 投标文件格式</w:t>
      </w:r>
    </w:p>
    <w:p w14:paraId="4682563E">
      <w:pPr>
        <w:pStyle w:val="23"/>
        <w:numPr>
          <w:ilvl w:val="0"/>
          <w:numId w:val="1"/>
        </w:numPr>
        <w:spacing w:before="0" w:line="500" w:lineRule="exact"/>
        <w:outlineLvl w:val="9"/>
        <w:rPr>
          <w:rFonts w:hint="eastAsia" w:asciiTheme="majorEastAsia" w:hAnsiTheme="majorEastAsia" w:eastAsiaTheme="majorEastAsia" w:cstheme="majorEastAsia"/>
          <w:b/>
          <w:bCs/>
        </w:rPr>
        <w:sectPr>
          <w:footerReference r:id="rId5" w:type="default"/>
          <w:pgSz w:w="11906" w:h="16839"/>
          <w:pgMar w:top="1166" w:right="1764" w:bottom="1362" w:left="1785" w:header="829" w:footer="1200" w:gutter="0"/>
          <w:pgNumType w:start="1"/>
          <w:cols w:space="720" w:num="1"/>
        </w:sectPr>
      </w:pPr>
    </w:p>
    <w:p w14:paraId="11335C99">
      <w:pPr>
        <w:pStyle w:val="23"/>
        <w:numPr>
          <w:ilvl w:val="0"/>
          <w:numId w:val="1"/>
        </w:numPr>
        <w:tabs>
          <w:tab w:val="left" w:pos="1762"/>
        </w:tabs>
        <w:ind w:firstLine="640" w:firstLineChars="200"/>
      </w:pPr>
      <w:r>
        <w:t>招标公告</w:t>
      </w:r>
    </w:p>
    <w:p w14:paraId="7A740569">
      <w:pPr>
        <w:pStyle w:val="3"/>
        <w:numPr>
          <w:ilvl w:val="0"/>
          <w:numId w:val="2"/>
        </w:numPr>
        <w:tabs>
          <w:tab w:val="left" w:pos="963"/>
        </w:tabs>
        <w:ind w:firstLine="482" w:firstLineChars="200"/>
      </w:pPr>
      <w:r>
        <w:t>项目基本情况</w:t>
      </w:r>
    </w:p>
    <w:p w14:paraId="50009750">
      <w:pPr>
        <w:pStyle w:val="11"/>
        <w:ind w:firstLine="480"/>
      </w:pPr>
      <w:r>
        <w:t>项目名称：吉林省全民健康数据中心网络运维服务项目</w:t>
      </w:r>
    </w:p>
    <w:p w14:paraId="0B9A4037">
      <w:pPr>
        <w:pStyle w:val="11"/>
        <w:ind w:firstLine="480"/>
      </w:pPr>
      <w:r>
        <w:t>采购预算（最高限价）：人民币16万元整</w:t>
      </w:r>
    </w:p>
    <w:p w14:paraId="379E314F">
      <w:pPr>
        <w:pStyle w:val="11"/>
        <w:ind w:firstLine="480"/>
      </w:pPr>
      <w:r>
        <w:t>服务周期：合同签订生效之日起12个月</w:t>
      </w:r>
    </w:p>
    <w:p w14:paraId="4AD6676F">
      <w:pPr>
        <w:pStyle w:val="11"/>
        <w:ind w:firstLine="480"/>
      </w:pPr>
      <w:r>
        <w:t>服务地点：吉林省卫生健康信息中心</w:t>
      </w:r>
    </w:p>
    <w:p w14:paraId="1E4AEEF5">
      <w:pPr>
        <w:pStyle w:val="11"/>
        <w:ind w:firstLine="480"/>
      </w:pPr>
      <w:r>
        <w:t>采购需求概述：采购1名全职驻场工程师，提供四大板块运维服务：机房全网运维、省级医疗业务系统网络支撑、全省医疗机构接入省全民健康信息平台保障、单位办公网络及会议设备运维，详细需求见第三章采购需求。</w:t>
      </w:r>
    </w:p>
    <w:p w14:paraId="3BBDFA7B">
      <w:pPr>
        <w:pStyle w:val="11"/>
        <w:ind w:firstLine="480"/>
      </w:pPr>
      <w:r>
        <w:t>评标方式：综合评分法</w:t>
      </w:r>
    </w:p>
    <w:p w14:paraId="023F137C">
      <w:pPr>
        <w:pStyle w:val="3"/>
        <w:numPr>
          <w:ilvl w:val="0"/>
          <w:numId w:val="2"/>
        </w:numPr>
        <w:tabs>
          <w:tab w:val="left" w:pos="963"/>
        </w:tabs>
        <w:ind w:firstLine="482" w:firstLineChars="200"/>
      </w:pPr>
      <w:r>
        <w:t>投标人资格条件（资格后审）</w:t>
      </w:r>
    </w:p>
    <w:p w14:paraId="48DB2482">
      <w:pPr>
        <w:pStyle w:val="11"/>
        <w:ind w:firstLine="480"/>
      </w:pPr>
      <w:r>
        <w:t>投标人须为国内注册独立法人，提供有效营业执照复印件加盖公章；</w:t>
      </w:r>
    </w:p>
    <w:p w14:paraId="1A146C5E">
      <w:pPr>
        <w:pStyle w:val="11"/>
        <w:ind w:firstLine="480"/>
      </w:pPr>
      <w:r>
        <w:t>财务要求：2025年度财务审计报告；成立不足1年提供银行资信证明+财务承诺函；</w:t>
      </w:r>
    </w:p>
    <w:p w14:paraId="1C8E142A">
      <w:pPr>
        <w:pStyle w:val="11"/>
        <w:ind w:firstLine="480"/>
      </w:pPr>
      <w:r>
        <w:t>纳税社保：</w:t>
      </w:r>
      <w:r>
        <w:rPr>
          <w:rFonts w:hint="eastAsia"/>
        </w:rPr>
        <w:t>近一年任意一个月依法缴纳税收和社会保障资金相关证明材料</w:t>
      </w:r>
      <w:r>
        <w:t>；</w:t>
      </w:r>
    </w:p>
    <w:p w14:paraId="11A843B6">
      <w:pPr>
        <w:pStyle w:val="11"/>
        <w:ind w:firstLine="480"/>
      </w:pPr>
      <w:r>
        <w:t>无重大违法记录书面声明；</w:t>
      </w:r>
    </w:p>
    <w:p w14:paraId="7F3A5649">
      <w:pPr>
        <w:pStyle w:val="11"/>
        <w:ind w:firstLine="480"/>
      </w:pPr>
      <w:r>
        <w:t>信用查询：未列入失信被执行人、重大税收违法失信主体、政府采购严重违法失信名单；</w:t>
      </w:r>
    </w:p>
    <w:p w14:paraId="7C0D1F0F">
      <w:pPr>
        <w:pStyle w:val="11"/>
        <w:ind w:firstLine="480"/>
      </w:pPr>
      <w:r>
        <w:t>无行贿犯罪书面承诺；</w:t>
      </w:r>
    </w:p>
    <w:p w14:paraId="1E6D7C0F">
      <w:pPr>
        <w:pStyle w:val="11"/>
        <w:ind w:firstLine="480"/>
      </w:pPr>
      <w:r>
        <w:t>本项目不接受联合体投标，不得转包、分包核心运维工作；</w:t>
      </w:r>
    </w:p>
    <w:p w14:paraId="693D1DCB">
      <w:pPr>
        <w:pStyle w:val="11"/>
        <w:ind w:firstLine="480"/>
      </w:pPr>
      <w:r>
        <w:t>单位负责人为同一人或存在控股、管理关系的不同供应商，不得同时投标。</w:t>
      </w:r>
    </w:p>
    <w:p w14:paraId="68ACE67C">
      <w:pPr>
        <w:pStyle w:val="3"/>
        <w:numPr>
          <w:ilvl w:val="0"/>
          <w:numId w:val="2"/>
        </w:numPr>
        <w:tabs>
          <w:tab w:val="left" w:pos="963"/>
        </w:tabs>
        <w:ind w:firstLine="482" w:firstLineChars="200"/>
      </w:pPr>
      <w:r>
        <w:t>招标文件获取</w:t>
      </w:r>
    </w:p>
    <w:p w14:paraId="4C1318E9">
      <w:pPr>
        <w:pStyle w:val="11"/>
        <w:ind w:firstLine="480"/>
      </w:pPr>
      <w:r>
        <w:t>获取时间：2026年8月</w:t>
      </w:r>
      <w:r>
        <w:rPr>
          <w:rFonts w:hint="eastAsia"/>
          <w:highlight w:val="none"/>
          <w:lang w:val="en-US" w:eastAsia="zh-CN"/>
        </w:rPr>
        <w:t>11</w:t>
      </w:r>
      <w:r>
        <w:t>日至2026年8月</w:t>
      </w:r>
      <w:r>
        <w:rPr>
          <w:rFonts w:hint="eastAsia"/>
          <w:highlight w:val="none"/>
          <w:lang w:val="en-US" w:eastAsia="zh-CN"/>
        </w:rPr>
        <w:t>13</w:t>
      </w:r>
      <w:r>
        <w:t>日</w:t>
      </w:r>
      <w:r>
        <w:rPr>
          <w:rFonts w:hint="eastAsia"/>
        </w:rPr>
        <w:t>；</w:t>
      </w:r>
    </w:p>
    <w:p w14:paraId="13AF71C6">
      <w:pPr>
        <w:pStyle w:val="11"/>
        <w:ind w:firstLine="480"/>
      </w:pPr>
      <w:r>
        <w:t>获取渠道：吉林省卫生健康信息中心网站免费下载完整招标文件；</w:t>
      </w:r>
    </w:p>
    <w:p w14:paraId="4CAC6536">
      <w:pPr>
        <w:pStyle w:val="11"/>
        <w:ind w:firstLine="480"/>
      </w:pPr>
      <w:r>
        <w:t>资料包含：公告、投标人须知、采购需求、评标办法、合同</w:t>
      </w:r>
      <w:r>
        <w:rPr>
          <w:rFonts w:hint="eastAsia"/>
        </w:rPr>
        <w:t>主要条款</w:t>
      </w:r>
      <w:r>
        <w:t>、投标文件格式。</w:t>
      </w:r>
    </w:p>
    <w:p w14:paraId="0CB3AFDF">
      <w:pPr>
        <w:pStyle w:val="3"/>
        <w:numPr>
          <w:ilvl w:val="0"/>
          <w:numId w:val="2"/>
        </w:numPr>
        <w:tabs>
          <w:tab w:val="left" w:pos="963"/>
        </w:tabs>
        <w:ind w:firstLine="482" w:firstLineChars="200"/>
      </w:pPr>
      <w:r>
        <w:t>投标文件递交及开标信息</w:t>
      </w:r>
    </w:p>
    <w:p w14:paraId="646EBD06">
      <w:pPr>
        <w:pStyle w:val="11"/>
        <w:ind w:firstLine="480"/>
      </w:pPr>
      <w:r>
        <w:t>投标截止/开标时间：2026年8月</w:t>
      </w:r>
      <w:bookmarkStart w:id="0" w:name="_GoBack"/>
      <w:r>
        <w:rPr>
          <w:rFonts w:hint="eastAsia"/>
          <w:highlight w:val="none"/>
        </w:rPr>
        <w:t>1</w:t>
      </w:r>
      <w:r>
        <w:rPr>
          <w:rFonts w:hint="eastAsia"/>
          <w:highlight w:val="none"/>
          <w:lang w:val="en-US" w:eastAsia="zh-CN"/>
        </w:rPr>
        <w:t>3</w:t>
      </w:r>
      <w:bookmarkEnd w:id="0"/>
      <w:r>
        <w:t>日16时</w:t>
      </w:r>
      <w:r>
        <w:rPr>
          <w:rFonts w:hint="eastAsia"/>
          <w:lang w:val="en-US" w:eastAsia="zh-CN"/>
        </w:rPr>
        <w:t>0</w:t>
      </w:r>
      <w:r>
        <w:t>0分</w:t>
      </w:r>
    </w:p>
    <w:p w14:paraId="0756862B">
      <w:pPr>
        <w:pStyle w:val="11"/>
        <w:ind w:firstLine="480"/>
      </w:pPr>
      <w:r>
        <w:t>递交及开标地点：吉林省卫生健康信息中心308室</w:t>
      </w:r>
    </w:p>
    <w:p w14:paraId="1D65E42F">
      <w:pPr>
        <w:pStyle w:val="11"/>
        <w:ind w:firstLine="480"/>
      </w:pPr>
      <w:r>
        <w:t>递交要求：逾期送达、密封不符合要求的投标文件，采购代理机构/采购人有权拒收。</w:t>
      </w:r>
    </w:p>
    <w:p w14:paraId="68EF9A44">
      <w:pPr>
        <w:pStyle w:val="3"/>
        <w:numPr>
          <w:ilvl w:val="0"/>
          <w:numId w:val="2"/>
        </w:numPr>
        <w:tabs>
          <w:tab w:val="left" w:pos="963"/>
        </w:tabs>
        <w:ind w:firstLine="482" w:firstLineChars="200"/>
      </w:pPr>
      <w:r>
        <w:t>公告发布媒介</w:t>
      </w:r>
    </w:p>
    <w:p w14:paraId="4AFE0F93">
      <w:pPr>
        <w:pStyle w:val="11"/>
        <w:ind w:firstLine="480"/>
      </w:pPr>
      <w:r>
        <w:t>吉林省卫生健康信息中心网站。</w:t>
      </w:r>
    </w:p>
    <w:p w14:paraId="0FA85153">
      <w:pPr>
        <w:pStyle w:val="3"/>
        <w:numPr>
          <w:ilvl w:val="0"/>
          <w:numId w:val="2"/>
        </w:numPr>
        <w:tabs>
          <w:tab w:val="left" w:pos="963"/>
        </w:tabs>
        <w:ind w:firstLine="482" w:firstLineChars="200"/>
      </w:pPr>
      <w:r>
        <w:t>联系方式</w:t>
      </w:r>
    </w:p>
    <w:p w14:paraId="4744853D">
      <w:pPr>
        <w:pStyle w:val="11"/>
        <w:ind w:firstLine="480"/>
      </w:pPr>
      <w:r>
        <w:t>采购人：吉林省卫生健康信息中心</w:t>
      </w:r>
    </w:p>
    <w:p w14:paraId="2AB855D2">
      <w:pPr>
        <w:pStyle w:val="11"/>
        <w:ind w:firstLine="480"/>
      </w:pPr>
      <w:r>
        <w:t>地址：长春市绿园区景阳大路3255号</w:t>
      </w:r>
    </w:p>
    <w:p w14:paraId="7CC118E6">
      <w:pPr>
        <w:pStyle w:val="11"/>
        <w:ind w:firstLine="480"/>
      </w:pPr>
      <w:r>
        <w:t>联系人：张文生</w:t>
      </w:r>
    </w:p>
    <w:p w14:paraId="16E537ED">
      <w:pPr>
        <w:pStyle w:val="11"/>
        <w:ind w:firstLine="480"/>
      </w:pPr>
      <w:r>
        <w:t>联系电话：</w:t>
      </w:r>
      <w:r>
        <w:rPr>
          <w:color w:val="555555"/>
        </w:rPr>
        <w:t>0431-85006608</w:t>
      </w:r>
    </w:p>
    <w:p w14:paraId="729F490D">
      <w:pPr>
        <w:spacing w:line="500" w:lineRule="exact"/>
        <w:rPr>
          <w:rFonts w:hint="eastAsia" w:asciiTheme="majorEastAsia" w:hAnsiTheme="majorEastAsia" w:eastAsiaTheme="majorEastAsia" w:cstheme="majorEastAsia"/>
        </w:rPr>
      </w:pPr>
      <w:r>
        <w:rPr>
          <w:rFonts w:hint="eastAsia" w:asciiTheme="majorEastAsia" w:hAnsiTheme="majorEastAsia" w:eastAsiaTheme="majorEastAsia" w:cstheme="majorEastAsia"/>
        </w:rPr>
        <w:br w:type="page"/>
      </w:r>
    </w:p>
    <w:p w14:paraId="63C25C46">
      <w:pPr>
        <w:pStyle w:val="23"/>
        <w:numPr>
          <w:ilvl w:val="0"/>
          <w:numId w:val="1"/>
        </w:numPr>
        <w:tabs>
          <w:tab w:val="left" w:pos="1762"/>
        </w:tabs>
        <w:ind w:firstLine="640" w:firstLineChars="200"/>
      </w:pPr>
      <w:r>
        <w:t>投标人须知</w:t>
      </w:r>
    </w:p>
    <w:p w14:paraId="325AE0A4">
      <w:pPr>
        <w:pStyle w:val="23"/>
        <w:numPr>
          <w:ilvl w:val="1"/>
          <w:numId w:val="3"/>
        </w:numPr>
        <w:tabs>
          <w:tab w:val="left" w:pos="1600"/>
        </w:tabs>
        <w:ind w:left="0" w:firstLine="640" w:firstLineChars="200"/>
        <w:outlineLvl w:val="1"/>
      </w:pPr>
      <w:r>
        <w:t>总则</w:t>
      </w:r>
    </w:p>
    <w:p w14:paraId="6368CD0A">
      <w:pPr>
        <w:pStyle w:val="4"/>
        <w:numPr>
          <w:ilvl w:val="0"/>
          <w:numId w:val="4"/>
        </w:numPr>
        <w:tabs>
          <w:tab w:val="left" w:pos="963"/>
        </w:tabs>
        <w:ind w:firstLine="482" w:firstLineChars="200"/>
      </w:pPr>
      <w:r>
        <w:t>项目说明</w:t>
      </w:r>
    </w:p>
    <w:p w14:paraId="468EF431">
      <w:pPr>
        <w:pStyle w:val="11"/>
        <w:numPr>
          <w:ilvl w:val="0"/>
          <w:numId w:val="5"/>
        </w:numPr>
        <w:tabs>
          <w:tab w:val="left" w:pos="1200"/>
        </w:tabs>
        <w:ind w:firstLine="480"/>
      </w:pPr>
      <w:r>
        <w:t>本项目按照政府采购法律法规及吉林省政府采购管理规定组织公开招标，本文件仅适用于本机房网络运维采购项目。</w:t>
      </w:r>
    </w:p>
    <w:p w14:paraId="753AC36E">
      <w:pPr>
        <w:pStyle w:val="11"/>
        <w:numPr>
          <w:ilvl w:val="0"/>
          <w:numId w:val="5"/>
        </w:numPr>
        <w:tabs>
          <w:tab w:val="left" w:pos="1200"/>
        </w:tabs>
        <w:ind w:firstLine="480"/>
      </w:pPr>
      <w:r>
        <w:t>采购方式：公开招标；评标办法：综合评分法。</w:t>
      </w:r>
    </w:p>
    <w:p w14:paraId="6A6845AD">
      <w:pPr>
        <w:pStyle w:val="11"/>
        <w:numPr>
          <w:ilvl w:val="0"/>
          <w:numId w:val="5"/>
        </w:numPr>
        <w:tabs>
          <w:tab w:val="left" w:pos="1200"/>
        </w:tabs>
        <w:ind w:firstLine="480"/>
      </w:pPr>
      <w:r>
        <w:t>资金来源：财政资金，资金已全部落实。</w:t>
      </w:r>
    </w:p>
    <w:p w14:paraId="3D45DB49">
      <w:pPr>
        <w:pStyle w:val="4"/>
        <w:numPr>
          <w:ilvl w:val="0"/>
          <w:numId w:val="4"/>
        </w:numPr>
        <w:tabs>
          <w:tab w:val="left" w:pos="963"/>
        </w:tabs>
        <w:ind w:firstLine="482" w:firstLineChars="200"/>
      </w:pPr>
      <w:r>
        <w:t>投标人要求</w:t>
      </w:r>
    </w:p>
    <w:p w14:paraId="3BFA4667">
      <w:pPr>
        <w:pStyle w:val="5"/>
        <w:numPr>
          <w:ilvl w:val="0"/>
          <w:numId w:val="6"/>
        </w:numPr>
        <w:tabs>
          <w:tab w:val="left" w:pos="1202"/>
        </w:tabs>
        <w:ind w:firstLine="480" w:firstLineChars="200"/>
      </w:pPr>
      <w:r>
        <w:t>投标人必须完全满足本公告全部资格条件；</w:t>
      </w:r>
    </w:p>
    <w:p w14:paraId="0B6BB0D1">
      <w:pPr>
        <w:pStyle w:val="5"/>
        <w:numPr>
          <w:ilvl w:val="0"/>
          <w:numId w:val="6"/>
        </w:numPr>
        <w:tabs>
          <w:tab w:val="left" w:pos="1202"/>
        </w:tabs>
        <w:ind w:firstLine="480" w:firstLineChars="200"/>
      </w:pPr>
      <w:r>
        <w:t>存在以下情形不得参与投标：</w:t>
      </w:r>
    </w:p>
    <w:p w14:paraId="3D6AFBC5">
      <w:pPr>
        <w:pStyle w:val="11"/>
        <w:numPr>
          <w:ilvl w:val="0"/>
          <w:numId w:val="7"/>
        </w:numPr>
        <w:tabs>
          <w:tab w:val="left" w:pos="780"/>
          <w:tab w:val="clear" w:pos="210"/>
        </w:tabs>
        <w:ind w:left="0" w:firstLine="480"/>
      </w:pPr>
      <w:r>
        <w:t>与采购人存在利害关系，影响招标公正性；</w:t>
      </w:r>
    </w:p>
    <w:p w14:paraId="4C499719">
      <w:pPr>
        <w:pStyle w:val="11"/>
        <w:numPr>
          <w:ilvl w:val="0"/>
          <w:numId w:val="7"/>
        </w:numPr>
        <w:tabs>
          <w:tab w:val="left" w:pos="780"/>
          <w:tab w:val="clear" w:pos="210"/>
        </w:tabs>
        <w:ind w:left="0" w:firstLine="480"/>
      </w:pPr>
      <w:r>
        <w:t>单位负责人与其他投标人相同或存在控股、管理关系；</w:t>
      </w:r>
    </w:p>
    <w:p w14:paraId="3E366E74">
      <w:pPr>
        <w:pStyle w:val="11"/>
        <w:numPr>
          <w:ilvl w:val="0"/>
          <w:numId w:val="7"/>
        </w:numPr>
        <w:tabs>
          <w:tab w:val="left" w:pos="780"/>
          <w:tab w:val="clear" w:pos="210"/>
        </w:tabs>
        <w:ind w:left="0" w:firstLine="480"/>
      </w:pPr>
      <w:r>
        <w:t>被列入政府采购严重违法失信名单、失信被执行人、重大税收违法失信主体。</w:t>
      </w:r>
    </w:p>
    <w:p w14:paraId="49381FD9">
      <w:pPr>
        <w:pStyle w:val="5"/>
        <w:numPr>
          <w:ilvl w:val="0"/>
          <w:numId w:val="6"/>
        </w:numPr>
        <w:tabs>
          <w:tab w:val="left" w:pos="1202"/>
        </w:tabs>
        <w:ind w:firstLine="480" w:firstLineChars="200"/>
      </w:pPr>
      <w:r>
        <w:t>不接受联合体投标，核心运维工作禁止转包、分包。</w:t>
      </w:r>
    </w:p>
    <w:p w14:paraId="092A9B28">
      <w:pPr>
        <w:pStyle w:val="4"/>
        <w:numPr>
          <w:ilvl w:val="0"/>
          <w:numId w:val="4"/>
        </w:numPr>
        <w:tabs>
          <w:tab w:val="left" w:pos="963"/>
        </w:tabs>
        <w:ind w:firstLine="482" w:firstLineChars="200"/>
      </w:pPr>
      <w:r>
        <w:t>投标费用</w:t>
      </w:r>
    </w:p>
    <w:p w14:paraId="428F0068">
      <w:pPr>
        <w:pStyle w:val="11"/>
        <w:ind w:firstLine="480"/>
      </w:pPr>
      <w:r>
        <w:t>投标人自行承担招标文件下载、文件编制、现场踏勘、开标、答疑等全部投标费用，无论是否中标，采购人、代理机构不承担任何费用。</w:t>
      </w:r>
    </w:p>
    <w:p w14:paraId="030F7C70">
      <w:r>
        <w:br w:type="page"/>
      </w:r>
    </w:p>
    <w:p w14:paraId="04258253">
      <w:pPr>
        <w:pStyle w:val="23"/>
        <w:numPr>
          <w:ilvl w:val="1"/>
          <w:numId w:val="3"/>
        </w:numPr>
        <w:tabs>
          <w:tab w:val="left" w:pos="1600"/>
        </w:tabs>
        <w:ind w:left="0" w:firstLine="640" w:firstLineChars="200"/>
        <w:outlineLvl w:val="1"/>
      </w:pPr>
      <w:r>
        <w:t>招标文件</w:t>
      </w:r>
    </w:p>
    <w:p w14:paraId="2E054F05">
      <w:pPr>
        <w:pStyle w:val="4"/>
        <w:numPr>
          <w:ilvl w:val="0"/>
          <w:numId w:val="8"/>
        </w:numPr>
        <w:tabs>
          <w:tab w:val="left" w:pos="963"/>
        </w:tabs>
        <w:ind w:firstLine="482" w:firstLineChars="200"/>
      </w:pPr>
      <w:r>
        <w:t>文件组成</w:t>
      </w:r>
    </w:p>
    <w:p w14:paraId="1CB54B60">
      <w:pPr>
        <w:pStyle w:val="11"/>
        <w:ind w:firstLine="480"/>
      </w:pPr>
      <w:r>
        <w:t>招标文件包含六大部分：招标公告、投标人须知、采购需求、评标办法、合同主要条款、投标文件格式。投标人须完整阅读全部条款，未响应文件要求导致投标无效的，后果由投标人自行承担。</w:t>
      </w:r>
    </w:p>
    <w:p w14:paraId="721960ED">
      <w:pPr>
        <w:pStyle w:val="4"/>
        <w:numPr>
          <w:ilvl w:val="0"/>
          <w:numId w:val="8"/>
        </w:numPr>
        <w:tabs>
          <w:tab w:val="left" w:pos="963"/>
        </w:tabs>
        <w:ind w:firstLine="482" w:firstLineChars="200"/>
      </w:pPr>
      <w:r>
        <w:t>文件澄清、修改</w:t>
      </w:r>
    </w:p>
    <w:p w14:paraId="52A84B63">
      <w:pPr>
        <w:pStyle w:val="11"/>
        <w:numPr>
          <w:ilvl w:val="0"/>
          <w:numId w:val="9"/>
        </w:numPr>
        <w:tabs>
          <w:tab w:val="left" w:pos="1200"/>
        </w:tabs>
        <w:ind w:firstLine="480"/>
      </w:pPr>
      <w:r>
        <w:t>投标人对招标文件存在疑问的，须在投标截止时间</w:t>
      </w:r>
      <w:r>
        <w:rPr>
          <w:rFonts w:hint="eastAsia"/>
          <w:lang w:val="en-US" w:eastAsia="zh-CN"/>
        </w:rPr>
        <w:t>1</w:t>
      </w:r>
      <w:r>
        <w:t>日前，以书面形式向采购人/代理机构提交澄清申请，逾期可不予答复；</w:t>
      </w:r>
    </w:p>
    <w:p w14:paraId="1D60EAC3">
      <w:pPr>
        <w:pStyle w:val="11"/>
        <w:numPr>
          <w:ilvl w:val="0"/>
          <w:numId w:val="9"/>
        </w:numPr>
        <w:tabs>
          <w:tab w:val="left" w:pos="1200"/>
        </w:tabs>
        <w:ind w:firstLine="480"/>
      </w:pPr>
      <w:r>
        <w:t>招标文件澄清、修改文件将在吉林省卫生健康信息中心网站统一公示，澄清/修改文件属于招标文件组成部分，对所有投标人具备同等约束力；</w:t>
      </w:r>
    </w:p>
    <w:p w14:paraId="2A1AED7E">
      <w:pPr>
        <w:pStyle w:val="11"/>
        <w:numPr>
          <w:ilvl w:val="0"/>
          <w:numId w:val="9"/>
        </w:numPr>
        <w:tabs>
          <w:tab w:val="left" w:pos="1200"/>
        </w:tabs>
        <w:ind w:firstLine="480"/>
      </w:pPr>
      <w:r>
        <w:t>澄清、修改公示时间距离投标截止不足</w:t>
      </w:r>
      <w:r>
        <w:rPr>
          <w:rFonts w:hint="eastAsia"/>
          <w:lang w:val="en-US" w:eastAsia="zh-CN"/>
        </w:rPr>
        <w:t>1</w:t>
      </w:r>
      <w:r>
        <w:t>日的，采购人顺延投标截止时间。</w:t>
      </w:r>
    </w:p>
    <w:p w14:paraId="6615CC85">
      <w:r>
        <w:br w:type="page"/>
      </w:r>
    </w:p>
    <w:p w14:paraId="6D53EAAC">
      <w:pPr>
        <w:pStyle w:val="23"/>
        <w:numPr>
          <w:ilvl w:val="1"/>
          <w:numId w:val="3"/>
        </w:numPr>
        <w:tabs>
          <w:tab w:val="left" w:pos="1600"/>
        </w:tabs>
        <w:ind w:left="0" w:firstLine="640" w:firstLineChars="200"/>
        <w:outlineLvl w:val="1"/>
      </w:pPr>
      <w:r>
        <w:t>投标文件编制</w:t>
      </w:r>
    </w:p>
    <w:p w14:paraId="475EB8F4">
      <w:pPr>
        <w:pStyle w:val="4"/>
        <w:numPr>
          <w:ilvl w:val="0"/>
          <w:numId w:val="10"/>
        </w:numPr>
        <w:tabs>
          <w:tab w:val="left" w:pos="963"/>
        </w:tabs>
        <w:ind w:firstLine="482" w:firstLineChars="200"/>
      </w:pPr>
      <w:r>
        <w:t>语言、计量单位</w:t>
      </w:r>
    </w:p>
    <w:p w14:paraId="17EA34D8">
      <w:pPr>
        <w:pStyle w:val="11"/>
        <w:numPr>
          <w:ilvl w:val="0"/>
          <w:numId w:val="11"/>
        </w:numPr>
        <w:tabs>
          <w:tab w:val="left" w:pos="1200"/>
        </w:tabs>
        <w:ind w:firstLine="480"/>
      </w:pPr>
      <w:r>
        <w:t>全部投标文件采用简体中文；证书、外文合同须附加盖公章中文翻译件，无翻译件不予采信；</w:t>
      </w:r>
    </w:p>
    <w:p w14:paraId="0EFA11E5">
      <w:pPr>
        <w:pStyle w:val="11"/>
        <w:numPr>
          <w:ilvl w:val="0"/>
          <w:numId w:val="11"/>
        </w:numPr>
        <w:tabs>
          <w:tab w:val="left" w:pos="1200"/>
        </w:tabs>
        <w:ind w:firstLine="480"/>
      </w:pPr>
      <w:r>
        <w:t>全部计量单位采用国家法定计量单位。</w:t>
      </w:r>
    </w:p>
    <w:p w14:paraId="2A8D4659">
      <w:pPr>
        <w:pStyle w:val="4"/>
        <w:numPr>
          <w:ilvl w:val="0"/>
          <w:numId w:val="10"/>
        </w:numPr>
        <w:tabs>
          <w:tab w:val="left" w:pos="963"/>
        </w:tabs>
        <w:ind w:firstLine="482" w:firstLineChars="200"/>
      </w:pPr>
      <w:r>
        <w:t>投标报价</w:t>
      </w:r>
    </w:p>
    <w:p w14:paraId="08D09B1A">
      <w:pPr>
        <w:pStyle w:val="11"/>
        <w:numPr>
          <w:ilvl w:val="0"/>
          <w:numId w:val="12"/>
        </w:numPr>
        <w:tabs>
          <w:tab w:val="left" w:pos="1200"/>
        </w:tabs>
        <w:ind w:firstLine="480"/>
      </w:pPr>
      <w:r>
        <w:t>投标报价为包干总价，包含人工、巡检、设备调试、应急值守、交通、耗材、税费、管理费等完成全部运维服务的所有费用，采购人无需额外支付任何款项；</w:t>
      </w:r>
    </w:p>
    <w:p w14:paraId="45DAF4F5">
      <w:pPr>
        <w:pStyle w:val="11"/>
        <w:numPr>
          <w:ilvl w:val="0"/>
          <w:numId w:val="12"/>
        </w:numPr>
        <w:tabs>
          <w:tab w:val="left" w:pos="1200"/>
        </w:tabs>
        <w:ind w:firstLine="480"/>
      </w:pPr>
      <w:r>
        <w:t>投标总报价高于项目最高限价，投标整体无效；</w:t>
      </w:r>
    </w:p>
    <w:p w14:paraId="7BF443E6">
      <w:pPr>
        <w:pStyle w:val="11"/>
        <w:numPr>
          <w:ilvl w:val="0"/>
          <w:numId w:val="12"/>
        </w:numPr>
        <w:tabs>
          <w:tab w:val="left" w:pos="1200"/>
        </w:tabs>
        <w:ind w:firstLine="480"/>
      </w:pPr>
      <w:r>
        <w:t>报价为固定价，合同履约期内不</w:t>
      </w:r>
      <w:r>
        <w:rPr>
          <w:rFonts w:hint="eastAsia"/>
          <w:lang w:eastAsia="zh-CN"/>
        </w:rPr>
        <w:t>做</w:t>
      </w:r>
      <w:r>
        <w:t>价格调整。</w:t>
      </w:r>
    </w:p>
    <w:p w14:paraId="64DDDA25">
      <w:pPr>
        <w:pStyle w:val="4"/>
        <w:numPr>
          <w:ilvl w:val="0"/>
          <w:numId w:val="10"/>
        </w:numPr>
        <w:tabs>
          <w:tab w:val="left" w:pos="963"/>
        </w:tabs>
        <w:ind w:firstLine="482" w:firstLineChars="200"/>
      </w:pPr>
      <w:r>
        <w:t>文件份数、密封要求</w:t>
      </w:r>
    </w:p>
    <w:p w14:paraId="2E06A691">
      <w:pPr>
        <w:pStyle w:val="11"/>
        <w:numPr>
          <w:ilvl w:val="0"/>
          <w:numId w:val="13"/>
        </w:numPr>
        <w:tabs>
          <w:tab w:val="left" w:pos="1200"/>
        </w:tabs>
        <w:ind w:firstLine="480"/>
      </w:pPr>
      <w:r>
        <w:t>纸质文件：正本1份，副本2份；</w:t>
      </w:r>
    </w:p>
    <w:p w14:paraId="5030DC72">
      <w:pPr>
        <w:pStyle w:val="11"/>
        <w:numPr>
          <w:ilvl w:val="0"/>
          <w:numId w:val="13"/>
        </w:numPr>
        <w:tabs>
          <w:tab w:val="left" w:pos="1200"/>
        </w:tabs>
        <w:ind w:firstLine="480"/>
      </w:pPr>
      <w:r>
        <w:t>密封规范：全部纸质文件统一密封于一个密封袋；密封袋封面标注：项目名称、投标人全称、开标前不得启封；密封封口处加盖投标人公章。</w:t>
      </w:r>
    </w:p>
    <w:p w14:paraId="7D85DE19">
      <w:pPr>
        <w:pStyle w:val="4"/>
        <w:numPr>
          <w:ilvl w:val="0"/>
          <w:numId w:val="10"/>
        </w:numPr>
        <w:tabs>
          <w:tab w:val="left" w:pos="963"/>
        </w:tabs>
        <w:ind w:firstLine="482" w:firstLineChars="200"/>
      </w:pPr>
      <w:r>
        <w:t>投标有效期</w:t>
      </w:r>
    </w:p>
    <w:p w14:paraId="13A65960">
      <w:pPr>
        <w:pStyle w:val="11"/>
        <w:numPr>
          <w:ilvl w:val="0"/>
          <w:numId w:val="14"/>
        </w:numPr>
        <w:tabs>
          <w:tab w:val="left" w:pos="1200"/>
        </w:tabs>
        <w:ind w:firstLine="480"/>
      </w:pPr>
      <w:r>
        <w:t>投标有效期：自投标截止之日起90日历天；</w:t>
      </w:r>
    </w:p>
    <w:p w14:paraId="6FBF67C0">
      <w:pPr>
        <w:pStyle w:val="11"/>
        <w:numPr>
          <w:ilvl w:val="0"/>
          <w:numId w:val="14"/>
        </w:numPr>
        <w:tabs>
          <w:tab w:val="left" w:pos="1200"/>
        </w:tabs>
        <w:ind w:firstLine="480"/>
      </w:pPr>
      <w:r>
        <w:t>有效期内投标人不得撤销投标文件；采购人如需延长有效期，投标人可书面同意或拒绝，拒绝延长的投标人投标自动失效。</w:t>
      </w:r>
    </w:p>
    <w:p w14:paraId="1CFC3394">
      <w:r>
        <w:br w:type="page"/>
      </w:r>
    </w:p>
    <w:p w14:paraId="12536DF0">
      <w:pPr>
        <w:pStyle w:val="23"/>
        <w:numPr>
          <w:ilvl w:val="1"/>
          <w:numId w:val="3"/>
        </w:numPr>
        <w:tabs>
          <w:tab w:val="left" w:pos="1600"/>
        </w:tabs>
        <w:ind w:left="0" w:firstLine="640" w:firstLineChars="200"/>
        <w:outlineLvl w:val="1"/>
      </w:pPr>
      <w:r>
        <w:t>开标与评标</w:t>
      </w:r>
    </w:p>
    <w:p w14:paraId="25AD5A5E">
      <w:pPr>
        <w:pStyle w:val="4"/>
        <w:numPr>
          <w:ilvl w:val="0"/>
          <w:numId w:val="15"/>
        </w:numPr>
        <w:tabs>
          <w:tab w:val="left" w:pos="963"/>
        </w:tabs>
        <w:ind w:firstLine="482" w:firstLineChars="200"/>
      </w:pPr>
      <w:r>
        <w:t>开标流程</w:t>
      </w:r>
    </w:p>
    <w:p w14:paraId="06709B3F">
      <w:pPr>
        <w:pStyle w:val="11"/>
        <w:numPr>
          <w:ilvl w:val="0"/>
          <w:numId w:val="16"/>
        </w:numPr>
        <w:tabs>
          <w:tab w:val="left" w:pos="1200"/>
        </w:tabs>
        <w:ind w:firstLine="480"/>
      </w:pPr>
      <w:r>
        <w:t>采购人/代理机构在规定时间、地点组织开标，投标人代表可到场见证；</w:t>
      </w:r>
    </w:p>
    <w:p w14:paraId="29008439">
      <w:pPr>
        <w:pStyle w:val="11"/>
        <w:numPr>
          <w:ilvl w:val="0"/>
          <w:numId w:val="16"/>
        </w:numPr>
        <w:tabs>
          <w:tab w:val="left" w:pos="1200"/>
        </w:tabs>
        <w:ind w:firstLine="480"/>
      </w:pPr>
      <w:r>
        <w:t>开标步骤：查验文件密封情况→当众拆封文件→宣读投标人名称、投标总价等关键信息，全程书面记录并存档。</w:t>
      </w:r>
    </w:p>
    <w:p w14:paraId="13DD4B5D">
      <w:pPr>
        <w:pStyle w:val="4"/>
        <w:numPr>
          <w:ilvl w:val="0"/>
          <w:numId w:val="15"/>
        </w:numPr>
        <w:tabs>
          <w:tab w:val="left" w:pos="963"/>
        </w:tabs>
        <w:ind w:firstLine="482" w:firstLineChars="200"/>
      </w:pPr>
      <w:r>
        <w:t>评标委员会</w:t>
      </w:r>
    </w:p>
    <w:p w14:paraId="2BA0DB4B">
      <w:pPr>
        <w:pStyle w:val="11"/>
        <w:numPr>
          <w:ilvl w:val="0"/>
          <w:numId w:val="17"/>
        </w:numPr>
        <w:tabs>
          <w:tab w:val="left" w:pos="1200"/>
        </w:tabs>
        <w:ind w:firstLine="480"/>
      </w:pPr>
      <w:r>
        <w:t>评标委员会由采购人组织成立，总人数为3人及以上单数；</w:t>
      </w:r>
    </w:p>
    <w:p w14:paraId="5509A20A">
      <w:pPr>
        <w:pStyle w:val="11"/>
        <w:numPr>
          <w:ilvl w:val="0"/>
          <w:numId w:val="17"/>
        </w:numPr>
        <w:tabs>
          <w:tab w:val="left" w:pos="1200"/>
        </w:tabs>
        <w:ind w:firstLine="480"/>
      </w:pPr>
      <w:r>
        <w:t>评标委员会独立、客观开展评审，严格按照招标文件评标办法打分，不受采购人、投标人任何干预。</w:t>
      </w:r>
    </w:p>
    <w:p w14:paraId="6D9A32A5">
      <w:pPr>
        <w:pStyle w:val="4"/>
        <w:numPr>
          <w:ilvl w:val="0"/>
          <w:numId w:val="15"/>
        </w:numPr>
        <w:tabs>
          <w:tab w:val="left" w:pos="963"/>
        </w:tabs>
        <w:ind w:firstLine="482" w:firstLineChars="200"/>
      </w:pPr>
      <w:r>
        <w:t>投标无效情形（满足任意一条即无效）</w:t>
      </w:r>
    </w:p>
    <w:p w14:paraId="4F95DC0D">
      <w:pPr>
        <w:pStyle w:val="11"/>
        <w:numPr>
          <w:ilvl w:val="0"/>
          <w:numId w:val="18"/>
        </w:numPr>
        <w:tabs>
          <w:tab w:val="left" w:pos="1200"/>
        </w:tabs>
        <w:ind w:firstLine="480"/>
      </w:pPr>
      <w:r>
        <w:t>资格审查不满足招标公告全部要求；</w:t>
      </w:r>
    </w:p>
    <w:p w14:paraId="4327BF28">
      <w:pPr>
        <w:pStyle w:val="11"/>
        <w:numPr>
          <w:ilvl w:val="0"/>
          <w:numId w:val="18"/>
        </w:numPr>
        <w:tabs>
          <w:tab w:val="left" w:pos="1200"/>
        </w:tabs>
        <w:ind w:firstLine="480"/>
      </w:pPr>
      <w:r>
        <w:t>投标报价超过项目最高限价；</w:t>
      </w:r>
    </w:p>
    <w:p w14:paraId="66DD329A">
      <w:pPr>
        <w:pStyle w:val="11"/>
        <w:numPr>
          <w:ilvl w:val="0"/>
          <w:numId w:val="18"/>
        </w:numPr>
        <w:tabs>
          <w:tab w:val="left" w:pos="1200"/>
        </w:tabs>
        <w:ind w:firstLine="480"/>
      </w:pPr>
      <w:r>
        <w:t>投标文件未加盖投标人公章、无法定代表人或授权代表签字；</w:t>
      </w:r>
    </w:p>
    <w:p w14:paraId="4EEB2C50">
      <w:pPr>
        <w:pStyle w:val="11"/>
        <w:numPr>
          <w:ilvl w:val="0"/>
          <w:numId w:val="18"/>
        </w:numPr>
        <w:tabs>
          <w:tab w:val="left" w:pos="1200"/>
        </w:tabs>
        <w:ind w:firstLine="480"/>
      </w:pPr>
      <w:r>
        <w:t>投标文件存在伪造业绩、虚假证书等弄虚作假行为；</w:t>
      </w:r>
    </w:p>
    <w:p w14:paraId="2F0FE842">
      <w:pPr>
        <w:pStyle w:val="11"/>
        <w:numPr>
          <w:ilvl w:val="0"/>
          <w:numId w:val="18"/>
        </w:numPr>
        <w:tabs>
          <w:tab w:val="left" w:pos="1200"/>
        </w:tabs>
        <w:ind w:firstLine="480"/>
      </w:pPr>
      <w:r>
        <w:t>未响应采购需求实质性服务条款；</w:t>
      </w:r>
    </w:p>
    <w:p w14:paraId="104DF4BC">
      <w:pPr>
        <w:pStyle w:val="11"/>
        <w:numPr>
          <w:ilvl w:val="0"/>
          <w:numId w:val="18"/>
        </w:numPr>
        <w:tabs>
          <w:tab w:val="left" w:pos="1200"/>
        </w:tabs>
        <w:ind w:firstLine="480"/>
      </w:pPr>
      <w:r>
        <w:t>逾期递交投标文件、密封不符合招标文件要求；</w:t>
      </w:r>
    </w:p>
    <w:p w14:paraId="19B29216">
      <w:pPr>
        <w:pStyle w:val="11"/>
        <w:numPr>
          <w:ilvl w:val="0"/>
          <w:numId w:val="18"/>
        </w:numPr>
        <w:tabs>
          <w:tab w:val="left" w:pos="1200"/>
        </w:tabs>
        <w:ind w:firstLine="480"/>
      </w:pPr>
      <w:r>
        <w:t>投标人存在串通投标、向评标专家行贿等违规行为。</w:t>
      </w:r>
    </w:p>
    <w:p w14:paraId="729B1BE6">
      <w:pPr>
        <w:pStyle w:val="4"/>
        <w:numPr>
          <w:ilvl w:val="0"/>
          <w:numId w:val="15"/>
        </w:numPr>
        <w:tabs>
          <w:tab w:val="left" w:pos="963"/>
        </w:tabs>
        <w:ind w:firstLine="482" w:firstLineChars="200"/>
      </w:pPr>
      <w:r>
        <w:t>完整评审流程</w:t>
      </w:r>
    </w:p>
    <w:p w14:paraId="438A3274">
      <w:pPr>
        <w:pStyle w:val="11"/>
        <w:numPr>
          <w:ilvl w:val="0"/>
          <w:numId w:val="19"/>
        </w:numPr>
        <w:tabs>
          <w:tab w:val="left" w:pos="1200"/>
        </w:tabs>
        <w:ind w:firstLine="480"/>
      </w:pPr>
      <w:r>
        <w:t>资格审查：核查投标人全部资格材料，不合格直接淘汰，不参与打分；</w:t>
      </w:r>
    </w:p>
    <w:p w14:paraId="27BE5533">
      <w:pPr>
        <w:pStyle w:val="11"/>
        <w:numPr>
          <w:ilvl w:val="0"/>
          <w:numId w:val="19"/>
        </w:numPr>
        <w:tabs>
          <w:tab w:val="left" w:pos="1200"/>
        </w:tabs>
        <w:ind w:firstLine="480"/>
      </w:pPr>
      <w:r>
        <w:t>符合性审查：核查投标文件是否完整响应采购需求全部实质性内容；</w:t>
      </w:r>
    </w:p>
    <w:p w14:paraId="4BD73CD3">
      <w:pPr>
        <w:pStyle w:val="11"/>
        <w:numPr>
          <w:ilvl w:val="0"/>
          <w:numId w:val="19"/>
        </w:numPr>
        <w:shd w:val="clear"/>
        <w:tabs>
          <w:tab w:val="left" w:pos="1200"/>
        </w:tabs>
        <w:ind w:firstLine="480"/>
        <w:rPr>
          <w:highlight w:val="none"/>
        </w:rPr>
      </w:pPr>
      <w:r>
        <w:rPr>
          <w:highlight w:val="none"/>
        </w:rPr>
        <w:t>综合打分：</w:t>
      </w:r>
      <w:r>
        <w:rPr>
          <w:rFonts w:hint="eastAsia"/>
          <w:highlight w:val="none"/>
        </w:rPr>
        <w:t>各评委按照第四卷评标办法独立打分，</w:t>
      </w:r>
      <w:r>
        <w:rPr>
          <w:rFonts w:hint="eastAsia"/>
          <w:highlight w:val="none"/>
          <w:lang w:eastAsia="zh-CN"/>
        </w:rPr>
        <w:t>所有评委的平均分</w:t>
      </w:r>
      <w:r>
        <w:rPr>
          <w:rFonts w:hint="eastAsia"/>
          <w:highlight w:val="none"/>
        </w:rPr>
        <w:t>为投标人最终得分；</w:t>
      </w:r>
    </w:p>
    <w:p w14:paraId="1B454671">
      <w:pPr>
        <w:pStyle w:val="11"/>
        <w:numPr>
          <w:ilvl w:val="0"/>
          <w:numId w:val="19"/>
        </w:numPr>
        <w:tabs>
          <w:tab w:val="left" w:pos="1200"/>
        </w:tabs>
        <w:ind w:firstLine="480"/>
      </w:pPr>
      <w:r>
        <w:t>排序推荐：按投标人总分从高至低排序，推荐前三名作为中标候选人。</w:t>
      </w:r>
    </w:p>
    <w:p w14:paraId="04C66D82">
      <w:pPr>
        <w:pStyle w:val="11"/>
        <w:numPr>
          <w:ilvl w:val="0"/>
          <w:numId w:val="0"/>
        </w:numPr>
        <w:tabs>
          <w:tab w:val="left" w:pos="1200"/>
        </w:tabs>
        <w:ind w:leftChars="200"/>
      </w:pPr>
    </w:p>
    <w:p w14:paraId="28CC48E7">
      <w:pPr>
        <w:pStyle w:val="11"/>
        <w:numPr>
          <w:ilvl w:val="0"/>
          <w:numId w:val="0"/>
        </w:numPr>
        <w:tabs>
          <w:tab w:val="left" w:pos="1200"/>
        </w:tabs>
        <w:ind w:leftChars="200"/>
      </w:pPr>
    </w:p>
    <w:p w14:paraId="25F11AF6">
      <w:pPr>
        <w:pStyle w:val="23"/>
        <w:numPr>
          <w:ilvl w:val="1"/>
          <w:numId w:val="3"/>
        </w:numPr>
        <w:tabs>
          <w:tab w:val="left" w:pos="1600"/>
        </w:tabs>
        <w:ind w:left="0" w:firstLine="640" w:firstLineChars="200"/>
        <w:outlineLvl w:val="1"/>
      </w:pPr>
      <w:r>
        <w:t>中标与合同签订</w:t>
      </w:r>
    </w:p>
    <w:p w14:paraId="2DA42756">
      <w:pPr>
        <w:pStyle w:val="4"/>
        <w:numPr>
          <w:ilvl w:val="0"/>
          <w:numId w:val="20"/>
        </w:numPr>
        <w:tabs>
          <w:tab w:val="left" w:pos="963"/>
        </w:tabs>
        <w:ind w:firstLine="482" w:firstLineChars="200"/>
      </w:pPr>
      <w:r>
        <w:t>中标候选人公示</w:t>
      </w:r>
    </w:p>
    <w:p w14:paraId="0D85CB2A">
      <w:pPr>
        <w:pStyle w:val="11"/>
        <w:numPr>
          <w:ilvl w:val="0"/>
          <w:numId w:val="21"/>
        </w:numPr>
        <w:tabs>
          <w:tab w:val="left" w:pos="1200"/>
        </w:tabs>
        <w:ind w:firstLine="480"/>
      </w:pPr>
      <w:r>
        <w:t>评标结束后，中标候选人名单在招标公告发布公示，公示期不少于3个工作日；</w:t>
      </w:r>
    </w:p>
    <w:p w14:paraId="60CFB138">
      <w:pPr>
        <w:pStyle w:val="11"/>
        <w:numPr>
          <w:ilvl w:val="0"/>
          <w:numId w:val="21"/>
        </w:numPr>
        <w:tabs>
          <w:tab w:val="left" w:pos="1200"/>
        </w:tabs>
        <w:ind w:firstLine="480"/>
      </w:pPr>
      <w:r>
        <w:t>公示期内收到投标人书面质疑的，采购人依法在规定时限内书面答复</w:t>
      </w:r>
      <w:r>
        <w:rPr>
          <w:rFonts w:hint="eastAsia"/>
        </w:rPr>
        <w:t>；对</w:t>
      </w:r>
      <w:r>
        <w:t>质疑答复不满意的，投标人可向同级财政监管部门提起投诉。</w:t>
      </w:r>
    </w:p>
    <w:p w14:paraId="1ACE9C92">
      <w:pPr>
        <w:pStyle w:val="4"/>
        <w:numPr>
          <w:ilvl w:val="0"/>
          <w:numId w:val="20"/>
        </w:numPr>
        <w:tabs>
          <w:tab w:val="left" w:pos="963"/>
        </w:tabs>
        <w:ind w:firstLine="482" w:firstLineChars="200"/>
      </w:pPr>
      <w:r>
        <w:t>中标通知书发放</w:t>
      </w:r>
    </w:p>
    <w:p w14:paraId="03593DBF">
      <w:pPr>
        <w:pStyle w:val="11"/>
        <w:ind w:firstLine="480"/>
      </w:pPr>
      <w:r>
        <w:t>公示期满无有效质疑、投诉后，采购人向第一中标候选人发放中标通知书；中标通知书为正式合同有效组成文件。</w:t>
      </w:r>
    </w:p>
    <w:p w14:paraId="11A27E6A">
      <w:pPr>
        <w:pStyle w:val="4"/>
        <w:numPr>
          <w:ilvl w:val="0"/>
          <w:numId w:val="20"/>
        </w:numPr>
        <w:tabs>
          <w:tab w:val="left" w:pos="963"/>
        </w:tabs>
        <w:ind w:firstLine="482" w:firstLineChars="200"/>
      </w:pPr>
      <w:r>
        <w:t>合同签订要求</w:t>
      </w:r>
    </w:p>
    <w:p w14:paraId="21D85A90">
      <w:pPr>
        <w:pStyle w:val="11"/>
        <w:numPr>
          <w:ilvl w:val="0"/>
          <w:numId w:val="22"/>
        </w:numPr>
        <w:tabs>
          <w:tab w:val="left" w:pos="1200"/>
        </w:tabs>
        <w:ind w:firstLine="480"/>
      </w:pPr>
      <w:r>
        <w:t>中标人收到中标通知书7日内，与采购人签订书面运维服务合同；合同条款不得背离招标文件、中标人投标文件实质性内容；</w:t>
      </w:r>
    </w:p>
    <w:p w14:paraId="041706AE">
      <w:pPr>
        <w:pStyle w:val="11"/>
        <w:numPr>
          <w:ilvl w:val="0"/>
          <w:numId w:val="22"/>
        </w:numPr>
        <w:tabs>
          <w:tab w:val="left" w:pos="1200"/>
        </w:tabs>
        <w:ind w:firstLine="480"/>
      </w:pPr>
      <w:r>
        <w:t>中标人无正当理由拒绝签订合同，视为自动放弃中标资格，采购人可顺延第二中标候选人，同时将该投标人记入政府采购失信记录。</w:t>
      </w:r>
    </w:p>
    <w:p w14:paraId="0267F5D1">
      <w:pPr>
        <w:pStyle w:val="23"/>
        <w:numPr>
          <w:ilvl w:val="1"/>
          <w:numId w:val="3"/>
        </w:numPr>
        <w:tabs>
          <w:tab w:val="left" w:pos="1600"/>
        </w:tabs>
        <w:ind w:left="0" w:firstLine="640" w:firstLineChars="200"/>
        <w:outlineLvl w:val="1"/>
      </w:pPr>
      <w:r>
        <w:t>其他通用条款</w:t>
      </w:r>
    </w:p>
    <w:p w14:paraId="694DF3AB">
      <w:pPr>
        <w:pStyle w:val="4"/>
        <w:numPr>
          <w:ilvl w:val="0"/>
          <w:numId w:val="23"/>
        </w:numPr>
        <w:tabs>
          <w:tab w:val="left" w:pos="963"/>
        </w:tabs>
        <w:ind w:firstLine="482" w:firstLineChars="200"/>
      </w:pPr>
      <w:r>
        <w:t>质疑与投诉管理</w:t>
      </w:r>
    </w:p>
    <w:p w14:paraId="6E89CF6C">
      <w:pPr>
        <w:pStyle w:val="11"/>
        <w:ind w:firstLine="480"/>
      </w:pPr>
      <w:r>
        <w:t>投标人对招标文件、开标流程、评审结果存在异议，须在法定时限内提交加盖公章的书面质疑文件</w:t>
      </w:r>
      <w:r>
        <w:rPr>
          <w:rFonts w:hint="eastAsia"/>
        </w:rPr>
        <w:t>；对</w:t>
      </w:r>
      <w:r>
        <w:t>质疑答复不满意的，可向</w:t>
      </w:r>
      <w:r>
        <w:rPr>
          <w:rFonts w:hint="eastAsia"/>
        </w:rPr>
        <w:t>相关部门</w:t>
      </w:r>
      <w:r>
        <w:t>提交投诉材料；</w:t>
      </w:r>
    </w:p>
    <w:p w14:paraId="37E74D15">
      <w:pPr>
        <w:pStyle w:val="4"/>
        <w:numPr>
          <w:ilvl w:val="0"/>
          <w:numId w:val="23"/>
        </w:numPr>
        <w:tabs>
          <w:tab w:val="left" w:pos="963"/>
        </w:tabs>
        <w:ind w:firstLine="482" w:firstLineChars="200"/>
      </w:pPr>
      <w:r>
        <w:t>文件解释权</w:t>
      </w:r>
    </w:p>
    <w:p w14:paraId="3F84F95E">
      <w:pPr>
        <w:pStyle w:val="11"/>
        <w:ind w:firstLine="480"/>
      </w:pPr>
      <w:r>
        <w:t>本招标文件最终解释权归吉林省卫生健康信息中心所有。</w:t>
      </w:r>
    </w:p>
    <w:p w14:paraId="6B5F63B6">
      <w:r>
        <w:br w:type="page"/>
      </w:r>
    </w:p>
    <w:p w14:paraId="458131C8">
      <w:pPr>
        <w:pStyle w:val="23"/>
        <w:numPr>
          <w:ilvl w:val="0"/>
          <w:numId w:val="1"/>
        </w:numPr>
        <w:tabs>
          <w:tab w:val="left" w:pos="1762"/>
        </w:tabs>
        <w:ind w:firstLine="640" w:firstLineChars="200"/>
      </w:pPr>
      <w:r>
        <w:t>采购需求</w:t>
      </w:r>
    </w:p>
    <w:p w14:paraId="085F9875">
      <w:pPr>
        <w:pStyle w:val="3"/>
        <w:numPr>
          <w:ilvl w:val="0"/>
          <w:numId w:val="24"/>
        </w:numPr>
        <w:tabs>
          <w:tab w:val="left" w:pos="963"/>
        </w:tabs>
        <w:ind w:left="0" w:firstLine="482" w:firstLineChars="200"/>
      </w:pPr>
      <w:r>
        <w:t>项目总体硬性要求</w:t>
      </w:r>
    </w:p>
    <w:p w14:paraId="566868F7">
      <w:pPr>
        <w:pStyle w:val="11"/>
        <w:ind w:firstLine="480"/>
      </w:pPr>
      <w:r>
        <w:t>驻场人员配置：供应商必须派驻1名全职驻场工程师；工作日5×8小时全程在采购人数据中心现场驻场；突发故障、应急事件、重大视频会议、两会、公共卫生应急等重点保障时期执行7×24小时随时到场处置；驻场工程师不得兼职其他单位项目；人员更换必须提前30天向采购人书面报备，新旧工程师并行交接驻场不少于7天，完成全部工作资料移交后方可更换。</w:t>
      </w:r>
    </w:p>
    <w:p w14:paraId="7E8FA8DD">
      <w:pPr>
        <w:pStyle w:val="11"/>
        <w:ind w:firstLine="480"/>
      </w:pPr>
      <w:r>
        <w:t>整体服务目标：全年保障数据中心全网、省级医疗业务系统、全省医疗机构专线、单位内部办公网络不间断、安全、合规稳定运行；建立标准化巡检、故障分级处置、风险隐患闭环整改、网络资产台账全流程管理机制，全面落实网络安全</w:t>
      </w:r>
      <w:r>
        <w:rPr>
          <w:rFonts w:hint="eastAsia"/>
        </w:rPr>
        <w:t>等</w:t>
      </w:r>
      <w:r>
        <w:t>保合规相关要求。</w:t>
      </w:r>
    </w:p>
    <w:p w14:paraId="684E1E05">
      <w:pPr>
        <w:pStyle w:val="3"/>
        <w:numPr>
          <w:ilvl w:val="0"/>
          <w:numId w:val="24"/>
        </w:numPr>
        <w:tabs>
          <w:tab w:val="left" w:pos="963"/>
        </w:tabs>
        <w:ind w:left="0" w:firstLine="482" w:firstLineChars="200"/>
      </w:pPr>
      <w:r>
        <w:t>四大板块详细运维服务内容</w:t>
      </w:r>
    </w:p>
    <w:p w14:paraId="17E289D9">
      <w:pPr>
        <w:pStyle w:val="11"/>
        <w:ind w:firstLine="480"/>
      </w:pPr>
      <w:r>
        <w:t>板块一：数据中心机房全网日常运维</w:t>
      </w:r>
    </w:p>
    <w:p w14:paraId="68CF101D">
      <w:pPr>
        <w:pStyle w:val="11"/>
        <w:ind w:firstLine="480"/>
      </w:pPr>
      <w:r>
        <w:t>运维设备覆盖范围：互联网、医疗专网、电子政务外网、办公内网机房交换机等全部网络硬件设备。</w:t>
      </w:r>
    </w:p>
    <w:p w14:paraId="6AAA10E8">
      <w:pPr>
        <w:pStyle w:val="11"/>
        <w:ind w:firstLine="480"/>
      </w:pPr>
      <w:r>
        <w:t>日常运维工作内容：承担全网整体网络规划、IP地址段划分、设备配置调试、跨区域网络链路故障排查、全网断网应急抢修、路由策略持续优化、内网访问权限精细化管控；7×24小时故障响应，省级核心业务网络中断，驻场工程师15分钟内到场处置。</w:t>
      </w:r>
    </w:p>
    <w:p w14:paraId="19579576">
      <w:pPr>
        <w:pStyle w:val="11"/>
        <w:ind w:firstLine="480"/>
      </w:pPr>
      <w:r>
        <w:t>月度设备巡检硬性标准：每月至少完成 1 次机房网络设备全覆盖现场巡检；逐项记录设备运行温度、端口在线状态、CPU</w:t>
      </w:r>
      <w:r>
        <w:rPr>
          <w:rFonts w:hint="eastAsia"/>
        </w:rPr>
        <w:t>/</w:t>
      </w:r>
      <w:r>
        <w:t>内存负载、设备告警信息；标准化编制月度巡检报告提交采购人存档；巡检当场发现故障立即处置常态化基础网络管理工作</w:t>
      </w:r>
      <w:r>
        <w:rPr>
          <w:rFonts w:hint="eastAsia"/>
        </w:rPr>
        <w:t>。</w:t>
      </w:r>
    </w:p>
    <w:p w14:paraId="500D8909">
      <w:pPr>
        <w:pStyle w:val="11"/>
        <w:numPr>
          <w:ilvl w:val="0"/>
          <w:numId w:val="25"/>
        </w:numPr>
        <w:tabs>
          <w:tab w:val="left" w:pos="1080"/>
        </w:tabs>
      </w:pPr>
      <w:r>
        <w:t>网络拓扑动态更新：全网拓扑图随设备增减、链路调整实时更新，每季度向采购人提交完整纸质版+电子版拓扑图；</w:t>
      </w:r>
    </w:p>
    <w:p w14:paraId="324F0ED0">
      <w:pPr>
        <w:pStyle w:val="11"/>
        <w:numPr>
          <w:ilvl w:val="0"/>
          <w:numId w:val="25"/>
        </w:numPr>
        <w:tabs>
          <w:tab w:val="left" w:pos="1080"/>
        </w:tabs>
      </w:pPr>
      <w:r>
        <w:t>运维日志完整记录：所有故障处置、设备配置变更、设备调试、月度巡检工作完整记录运维日志，采购人可随时调阅核查；</w:t>
      </w:r>
    </w:p>
    <w:p w14:paraId="1DF814A9">
      <w:pPr>
        <w:pStyle w:val="11"/>
        <w:numPr>
          <w:ilvl w:val="0"/>
          <w:numId w:val="25"/>
        </w:numPr>
        <w:tabs>
          <w:tab w:val="left" w:pos="1080"/>
        </w:tabs>
      </w:pPr>
      <w:r>
        <w:t>网络资产动态台账：建立完整网络设备资产台账，包含设备型号、设备序列号、上线使用时间、原厂维保期限、对应承载业务；设备增减、变更实时更新台账；</w:t>
      </w:r>
    </w:p>
    <w:p w14:paraId="513D5BBA">
      <w:pPr>
        <w:pStyle w:val="11"/>
        <w:numPr>
          <w:ilvl w:val="0"/>
          <w:numId w:val="25"/>
        </w:numPr>
        <w:tabs>
          <w:tab w:val="left" w:pos="1080"/>
        </w:tabs>
      </w:pPr>
      <w:r>
        <w:t>网络安全专项巡检：配合采购人完成网络安全检查、等级保护测评等工作，提供网络层面全部技术支撑；</w:t>
      </w:r>
    </w:p>
    <w:p w14:paraId="39F4E196">
      <w:pPr>
        <w:pStyle w:val="11"/>
        <w:numPr>
          <w:ilvl w:val="0"/>
          <w:numId w:val="25"/>
        </w:numPr>
        <w:tabs>
          <w:tab w:val="left" w:pos="1080"/>
        </w:tabs>
      </w:pPr>
      <w:r>
        <w:t>重点时期7×24值守：全国、全省两会、重大公共卫生应急事件、</w:t>
      </w:r>
      <w:r>
        <w:rPr>
          <w:rFonts w:hint="eastAsia"/>
        </w:rPr>
        <w:t>国家重大活动日、</w:t>
      </w:r>
      <w:r>
        <w:t>法定节假日等敏感时期，执行7×24值班值守制度，每日报送全网运行简报。</w:t>
      </w:r>
    </w:p>
    <w:p w14:paraId="027F0A5E">
      <w:pPr>
        <w:pStyle w:val="11"/>
        <w:ind w:firstLine="480"/>
      </w:pPr>
      <w:r>
        <w:t>板块二：省级医疗业务系统网络信息技术支撑</w:t>
      </w:r>
    </w:p>
    <w:p w14:paraId="5EBD6794">
      <w:pPr>
        <w:pStyle w:val="11"/>
        <w:ind w:firstLine="480"/>
      </w:pPr>
      <w:r>
        <w:t>保障业务系统清单：省居民健康卡应用管理系统、省互联网医疗服务监管平台、其他省级全民健康相关业务系统。</w:t>
      </w:r>
    </w:p>
    <w:p w14:paraId="233B71C9">
      <w:pPr>
        <w:pStyle w:val="11"/>
        <w:ind w:firstLine="480"/>
      </w:pPr>
      <w:r>
        <w:t>医疗机构对接全流程技术保障：各级医疗机构对接数据中心内各系统时，完成 IP 地址规划分配、三层/二层网络配置调试、专线联通全流程测试、跨区域网络故障处理；主动对接各医疗机构信息科技术人员，远程或现场开展网络专项技术指导，确保医疗机构业务数据正常上传、平台数据交互稳定。</w:t>
      </w:r>
    </w:p>
    <w:p w14:paraId="3A88EE68">
      <w:pPr>
        <w:pStyle w:val="11"/>
        <w:ind w:firstLine="480"/>
      </w:pPr>
      <w:r>
        <w:t>第三方接入节点运维保障：负责委机关电子政务外网接入点、省平台运维前置机、第三方厂商业务对接链路的网络调试</w:t>
      </w:r>
      <w:r>
        <w:rPr>
          <w:rFonts w:hint="eastAsia"/>
        </w:rPr>
        <w:t>、</w:t>
      </w:r>
      <w:r>
        <w:t>访问权限管控。</w:t>
      </w:r>
    </w:p>
    <w:p w14:paraId="322EE313">
      <w:pPr>
        <w:pStyle w:val="11"/>
        <w:ind w:firstLine="480"/>
      </w:pPr>
      <w:r>
        <w:t>运行保障硬性标准：全年保障省级业务系统网络7×24小时稳定、安全、合规运行，杜绝因网络故障导致业务系统中断、医疗业务数据传输失败。</w:t>
      </w:r>
    </w:p>
    <w:p w14:paraId="4BCA1AD5">
      <w:pPr>
        <w:pStyle w:val="11"/>
        <w:ind w:firstLine="480"/>
      </w:pPr>
      <w:r>
        <w:t>板块三：全省医疗机构接入省全民健康信息平台专项网络保障</w:t>
      </w:r>
    </w:p>
    <w:p w14:paraId="2374296F">
      <w:pPr>
        <w:pStyle w:val="11"/>
        <w:ind w:firstLine="480"/>
      </w:pPr>
      <w:r>
        <w:t>基础业务熟悉要求：供应商须全面熟悉吉林省全民健康信息平台整体网络架构、吉林祥云政务云专线链路、省级统一专网整体规划；专职承担全省各级医疗机构专网IP申请、IP地址分配。</w:t>
      </w:r>
    </w:p>
    <w:p w14:paraId="3A6648D0">
      <w:pPr>
        <w:pStyle w:val="11"/>
        <w:ind w:firstLine="480"/>
      </w:pPr>
      <w:r>
        <w:t>故障与技术问题处置标准：医疗机构专线不通、路由异常、云平台访问失败、医疗数据上传中断等各类网络故障，提供远程即时排查；全程做好技术指导，完整留存每一家医疗机构接入技术档案。</w:t>
      </w:r>
    </w:p>
    <w:p w14:paraId="010423F7">
      <w:pPr>
        <w:pStyle w:val="11"/>
        <w:ind w:firstLine="480"/>
      </w:pPr>
      <w:r>
        <w:t>整体运行目标：保障全省医疗机构与省全民健康信息平台数据传输链路全年稳定，7×24 小时不间断运行，满足全省常态化医疗业务开展需求。</w:t>
      </w:r>
    </w:p>
    <w:p w14:paraId="16E46A63">
      <w:pPr>
        <w:pStyle w:val="11"/>
        <w:ind w:firstLine="480"/>
      </w:pPr>
      <w:r>
        <w:t>板块四：信息中心办公网络及配套设备、会议专项保障运维</w:t>
      </w:r>
    </w:p>
    <w:p w14:paraId="53D21F86">
      <w:pPr>
        <w:pStyle w:val="11"/>
        <w:ind w:firstLine="480"/>
      </w:pPr>
      <w:r>
        <w:t>办公网络运维内容：单位内部办公有线、无线网络规划、VLAN 网段划分、网络故障排查；办公电脑网络故障、打印机网络共享故障、固话线路故障、终端上网权限管理。</w:t>
      </w:r>
    </w:p>
    <w:p w14:paraId="3F102891">
      <w:pPr>
        <w:pStyle w:val="11"/>
        <w:ind w:firstLine="480"/>
        <w:rPr>
          <w:strike/>
        </w:rPr>
      </w:pPr>
      <w:r>
        <w:t>会议专项保障标准：单位内部日常工作会议、线上业务培训会议全程网络保障；会议开展期间工程师现场全程值守，音视频异常故障处理。</w:t>
      </w:r>
    </w:p>
    <w:p w14:paraId="69F10C67">
      <w:pPr>
        <w:pStyle w:val="3"/>
        <w:numPr>
          <w:ilvl w:val="0"/>
          <w:numId w:val="24"/>
        </w:numPr>
        <w:tabs>
          <w:tab w:val="left" w:pos="963"/>
        </w:tabs>
        <w:ind w:left="0" w:firstLine="482" w:firstLineChars="200"/>
      </w:pPr>
      <w:r>
        <w:t>项目验收标准</w:t>
      </w:r>
    </w:p>
    <w:p w14:paraId="5F75C16E">
      <w:pPr>
        <w:pStyle w:val="11"/>
        <w:ind w:firstLine="480"/>
      </w:pPr>
      <w:r>
        <w:t>月度验收：每月5日前供应商提交上月全套运维交付资料；采购人核对月度巡检报告、运维处置日志、故障处理记录；资料齐全、故障处置到位、当月无重大网络责任事故，即为月度验收合格。</w:t>
      </w:r>
    </w:p>
    <w:p w14:paraId="438A7606">
      <w:pPr>
        <w:pStyle w:val="11"/>
        <w:ind w:firstLine="480"/>
      </w:pPr>
      <w:r>
        <w:t>年度总体验收：12个月服务期满后，供应商提交全年运维总结报告、全部运维归档资料；采购人核查全年全网运行稳定性、故障处置响应时效、安全隐患整改完成率、全年各类会议保障完成情况；全年无重大网络责任事故、全部交付资料完整齐全，即为年度验收合格。</w:t>
      </w:r>
    </w:p>
    <w:p w14:paraId="31DE8E96">
      <w:pPr>
        <w:pStyle w:val="11"/>
        <w:spacing w:line="500" w:lineRule="exact"/>
        <w:ind w:firstLine="480"/>
        <w:rPr>
          <w:rFonts w:hint="eastAsia" w:asciiTheme="majorEastAsia" w:hAnsiTheme="majorEastAsia" w:eastAsiaTheme="majorEastAsia" w:cstheme="majorEastAsia"/>
        </w:rPr>
      </w:pPr>
    </w:p>
    <w:p w14:paraId="4210D221">
      <w:pPr>
        <w:pStyle w:val="11"/>
        <w:spacing w:line="500" w:lineRule="exact"/>
        <w:ind w:firstLine="480"/>
        <w:rPr>
          <w:rFonts w:hint="eastAsia" w:asciiTheme="majorEastAsia" w:hAnsiTheme="majorEastAsia" w:eastAsiaTheme="majorEastAsia" w:cstheme="majorEastAsia"/>
        </w:rPr>
      </w:pPr>
    </w:p>
    <w:p w14:paraId="1A5A1A53">
      <w:pPr>
        <w:pStyle w:val="11"/>
        <w:spacing w:line="500" w:lineRule="exact"/>
        <w:ind w:firstLine="480"/>
        <w:rPr>
          <w:rFonts w:hint="eastAsia" w:asciiTheme="majorEastAsia" w:hAnsiTheme="majorEastAsia" w:eastAsiaTheme="majorEastAsia" w:cstheme="majorEastAsia"/>
        </w:rPr>
      </w:pPr>
    </w:p>
    <w:p w14:paraId="0DB0AFEE">
      <w:pPr>
        <w:pStyle w:val="11"/>
        <w:spacing w:line="500" w:lineRule="exact"/>
        <w:ind w:firstLine="480"/>
        <w:rPr>
          <w:rFonts w:hint="eastAsia" w:asciiTheme="majorEastAsia" w:hAnsiTheme="majorEastAsia" w:eastAsiaTheme="majorEastAsia" w:cstheme="majorEastAsia"/>
        </w:rPr>
      </w:pPr>
    </w:p>
    <w:p w14:paraId="4E5A05C4">
      <w:pPr>
        <w:pStyle w:val="11"/>
        <w:spacing w:line="500" w:lineRule="exact"/>
        <w:ind w:firstLine="480"/>
        <w:rPr>
          <w:rFonts w:hint="eastAsia" w:asciiTheme="majorEastAsia" w:hAnsiTheme="majorEastAsia" w:eastAsiaTheme="majorEastAsia" w:cstheme="majorEastAsia"/>
        </w:rPr>
      </w:pPr>
    </w:p>
    <w:p w14:paraId="6E9C14E7">
      <w:pPr>
        <w:pStyle w:val="11"/>
        <w:spacing w:line="500" w:lineRule="exact"/>
        <w:ind w:firstLine="480"/>
        <w:rPr>
          <w:rFonts w:hint="eastAsia" w:asciiTheme="majorEastAsia" w:hAnsiTheme="majorEastAsia" w:eastAsiaTheme="majorEastAsia" w:cstheme="majorEastAsia"/>
        </w:rPr>
      </w:pPr>
    </w:p>
    <w:p w14:paraId="74DAE6EA">
      <w:pPr>
        <w:pStyle w:val="11"/>
        <w:spacing w:line="500" w:lineRule="exact"/>
        <w:ind w:firstLine="480"/>
        <w:rPr>
          <w:rFonts w:hint="eastAsia" w:asciiTheme="majorEastAsia" w:hAnsiTheme="majorEastAsia" w:eastAsiaTheme="majorEastAsia" w:cstheme="majorEastAsia"/>
        </w:rPr>
      </w:pPr>
    </w:p>
    <w:p w14:paraId="0CD988BC">
      <w:pPr>
        <w:pStyle w:val="11"/>
        <w:spacing w:line="500" w:lineRule="exact"/>
        <w:ind w:firstLine="480"/>
        <w:rPr>
          <w:rFonts w:hint="eastAsia" w:asciiTheme="majorEastAsia" w:hAnsiTheme="majorEastAsia" w:eastAsiaTheme="majorEastAsia" w:cstheme="majorEastAsia"/>
        </w:rPr>
      </w:pPr>
    </w:p>
    <w:p w14:paraId="105F532A">
      <w:pPr>
        <w:pStyle w:val="11"/>
        <w:spacing w:line="500" w:lineRule="exact"/>
        <w:ind w:firstLine="480"/>
        <w:rPr>
          <w:rFonts w:hint="eastAsia" w:asciiTheme="majorEastAsia" w:hAnsiTheme="majorEastAsia" w:eastAsiaTheme="majorEastAsia" w:cstheme="majorEastAsia"/>
        </w:rPr>
      </w:pPr>
    </w:p>
    <w:p w14:paraId="340634F2">
      <w:pPr>
        <w:pStyle w:val="11"/>
        <w:spacing w:line="500" w:lineRule="exact"/>
        <w:ind w:firstLine="480"/>
        <w:rPr>
          <w:rFonts w:hint="eastAsia" w:asciiTheme="majorEastAsia" w:hAnsiTheme="majorEastAsia" w:eastAsiaTheme="majorEastAsia" w:cstheme="majorEastAsia"/>
        </w:rPr>
      </w:pPr>
    </w:p>
    <w:p w14:paraId="6D29F4B7">
      <w:r>
        <w:br w:type="page"/>
      </w:r>
    </w:p>
    <w:p w14:paraId="7D9DF149">
      <w:pPr>
        <w:pStyle w:val="23"/>
        <w:numPr>
          <w:ilvl w:val="0"/>
          <w:numId w:val="1"/>
        </w:numPr>
        <w:tabs>
          <w:tab w:val="left" w:pos="1762"/>
        </w:tabs>
        <w:ind w:firstLine="640" w:firstLineChars="200"/>
      </w:pPr>
      <w:r>
        <w:t>评标办法（综合评分法，总分100分）</w:t>
      </w:r>
    </w:p>
    <w:p w14:paraId="263CC414">
      <w:pPr>
        <w:pStyle w:val="11"/>
        <w:ind w:firstLine="480"/>
      </w:pPr>
      <w:r>
        <w:t>本项目采用综合评分法，总分100分，分为三大部分：价格部分（10分）、技术部分（</w:t>
      </w:r>
      <w:r>
        <w:rPr>
          <w:rFonts w:hint="eastAsia"/>
        </w:rPr>
        <w:t>60</w:t>
      </w:r>
      <w:r>
        <w:t>分）、商务部分（</w:t>
      </w:r>
      <w:r>
        <w:rPr>
          <w:rFonts w:hint="eastAsia"/>
        </w:rPr>
        <w:t>30</w:t>
      </w:r>
      <w:r>
        <w:t>分）。</w:t>
      </w:r>
    </w:p>
    <w:p w14:paraId="3BEDF80C">
      <w:pPr>
        <w:pStyle w:val="11"/>
        <w:ind w:firstLine="480"/>
      </w:pPr>
      <w:r>
        <w:t>全部评审打分标准全部量化，无主观模糊描述；各评委独立打分</w:t>
      </w:r>
      <w:r>
        <w:rPr>
          <w:rFonts w:hint="eastAsia"/>
        </w:rPr>
        <w:t>，</w:t>
      </w:r>
      <w:r>
        <w:t>按照有效供应商综合总得分由高到低依次推荐成交候选供应商。综合总得分出现两家或两家以上相同者，按最后报价由低到高排序推荐成交候选供应商;综合总得分且最后报价均相同的，由</w:t>
      </w:r>
      <w:r>
        <w:rPr>
          <w:rFonts w:hint="eastAsia"/>
        </w:rPr>
        <w:t>评审委员会</w:t>
      </w:r>
      <w:r>
        <w:t>按照技术指标优劣顺序推荐成交候选供应商。</w:t>
      </w:r>
    </w:p>
    <w:p w14:paraId="55A4E1EE">
      <w:pPr>
        <w:pStyle w:val="11"/>
        <w:ind w:firstLine="480"/>
      </w:pPr>
      <w:r>
        <w:t>所有评审因素均与本项目运维服务履约能力、服务质量直接相关，不存在与项目履约无关的评审条件。</w:t>
      </w:r>
    </w:p>
    <w:p w14:paraId="317C40DA">
      <w:pPr>
        <w:pStyle w:val="11"/>
        <w:spacing w:after="0"/>
        <w:ind w:firstLine="480"/>
      </w:pPr>
      <w:r>
        <w:t>投标人最终总分计算公式：总分=价格得分+商务得分+技术得分；总分由高至低排序，得分最高者为第一中标候选人；总分相同，技术得分高者优先；技术得分一致，商务得分高者优先。</w:t>
      </w:r>
    </w:p>
    <w:tbl>
      <w:tblPr>
        <w:tblStyle w:val="18"/>
        <w:tblW w:w="5000" w:type="pct"/>
        <w:tblInd w:w="0" w:type="dxa"/>
        <w:tblLayout w:type="autofit"/>
        <w:tblCellMar>
          <w:top w:w="0" w:type="dxa"/>
          <w:left w:w="108" w:type="dxa"/>
          <w:bottom w:w="0" w:type="dxa"/>
          <w:right w:w="108" w:type="dxa"/>
        </w:tblCellMar>
      </w:tblPr>
      <w:tblGrid>
        <w:gridCol w:w="658"/>
        <w:gridCol w:w="1321"/>
        <w:gridCol w:w="5493"/>
        <w:gridCol w:w="1101"/>
      </w:tblGrid>
      <w:tr w14:paraId="54FF2D1B">
        <w:tblPrEx>
          <w:tblCellMar>
            <w:top w:w="0" w:type="dxa"/>
            <w:left w:w="108" w:type="dxa"/>
            <w:bottom w:w="0" w:type="dxa"/>
            <w:right w:w="108" w:type="dxa"/>
          </w:tblCellMar>
        </w:tblPrEx>
        <w:trPr>
          <w:trHeight w:val="270" w:hRule="atLeast"/>
        </w:trPr>
        <w:tc>
          <w:tcPr>
            <w:tcW w:w="384" w:type="pct"/>
            <w:tcBorders>
              <w:top w:val="single" w:color="auto" w:sz="4" w:space="0"/>
              <w:left w:val="single" w:color="auto" w:sz="4" w:space="0"/>
              <w:bottom w:val="single" w:color="auto" w:sz="4" w:space="0"/>
              <w:right w:val="single" w:color="auto" w:sz="4" w:space="0"/>
            </w:tcBorders>
            <w:noWrap/>
            <w:vAlign w:val="center"/>
          </w:tcPr>
          <w:p w14:paraId="651D04EF">
            <w:pPr>
              <w:widowControl/>
              <w:jc w:val="center"/>
              <w:rPr>
                <w:rFonts w:ascii="宋体" w:hAnsi="宋体" w:eastAsia="宋体" w:cs="宋体"/>
                <w:b/>
                <w:bCs/>
                <w:kern w:val="0"/>
                <w:sz w:val="22"/>
                <w:szCs w:val="22"/>
              </w:rPr>
            </w:pPr>
            <w:r>
              <w:rPr>
                <w:rFonts w:ascii="宋体" w:hAnsi="宋体" w:eastAsia="宋体" w:cs="宋体"/>
                <w:b/>
                <w:bCs/>
                <w:kern w:val="0"/>
                <w:sz w:val="22"/>
                <w:szCs w:val="22"/>
              </w:rPr>
              <w:t>序号</w:t>
            </w:r>
          </w:p>
        </w:tc>
        <w:tc>
          <w:tcPr>
            <w:tcW w:w="770" w:type="pct"/>
            <w:tcBorders>
              <w:top w:val="single" w:color="auto" w:sz="4" w:space="0"/>
              <w:left w:val="nil"/>
              <w:bottom w:val="single" w:color="auto" w:sz="4" w:space="0"/>
              <w:right w:val="single" w:color="auto" w:sz="4" w:space="0"/>
            </w:tcBorders>
            <w:noWrap/>
            <w:vAlign w:val="center"/>
          </w:tcPr>
          <w:p w14:paraId="25533957">
            <w:pPr>
              <w:widowControl/>
              <w:jc w:val="center"/>
              <w:rPr>
                <w:rFonts w:ascii="宋体" w:hAnsi="宋体" w:eastAsia="宋体" w:cs="宋体"/>
                <w:b/>
                <w:bCs/>
                <w:kern w:val="0"/>
                <w:sz w:val="22"/>
                <w:szCs w:val="22"/>
              </w:rPr>
            </w:pPr>
            <w:r>
              <w:rPr>
                <w:rFonts w:ascii="宋体" w:hAnsi="宋体" w:eastAsia="宋体" w:cs="宋体"/>
                <w:b/>
                <w:bCs/>
                <w:kern w:val="0"/>
                <w:sz w:val="22"/>
                <w:szCs w:val="22"/>
              </w:rPr>
              <w:t>评分点名称</w:t>
            </w:r>
          </w:p>
        </w:tc>
        <w:tc>
          <w:tcPr>
            <w:tcW w:w="3204" w:type="pct"/>
            <w:tcBorders>
              <w:top w:val="single" w:color="auto" w:sz="4" w:space="0"/>
              <w:left w:val="nil"/>
              <w:bottom w:val="single" w:color="auto" w:sz="4" w:space="0"/>
              <w:right w:val="single" w:color="auto" w:sz="4" w:space="0"/>
            </w:tcBorders>
            <w:noWrap/>
            <w:vAlign w:val="center"/>
          </w:tcPr>
          <w:p w14:paraId="04CB8365">
            <w:pPr>
              <w:widowControl/>
              <w:jc w:val="center"/>
              <w:rPr>
                <w:rFonts w:ascii="宋体" w:hAnsi="宋体" w:eastAsia="宋体" w:cs="宋体"/>
                <w:b/>
                <w:bCs/>
                <w:kern w:val="0"/>
                <w:sz w:val="22"/>
                <w:szCs w:val="22"/>
              </w:rPr>
            </w:pPr>
            <w:r>
              <w:rPr>
                <w:rFonts w:ascii="宋体" w:hAnsi="宋体" w:eastAsia="宋体" w:cs="宋体"/>
                <w:b/>
                <w:bCs/>
                <w:kern w:val="0"/>
                <w:sz w:val="22"/>
                <w:szCs w:val="22"/>
              </w:rPr>
              <w:t>评审标准</w:t>
            </w:r>
          </w:p>
        </w:tc>
        <w:tc>
          <w:tcPr>
            <w:tcW w:w="642" w:type="pct"/>
            <w:tcBorders>
              <w:top w:val="single" w:color="auto" w:sz="4" w:space="0"/>
              <w:left w:val="nil"/>
              <w:bottom w:val="single" w:color="auto" w:sz="4" w:space="0"/>
              <w:right w:val="single" w:color="auto" w:sz="4" w:space="0"/>
            </w:tcBorders>
            <w:noWrap/>
            <w:vAlign w:val="center"/>
          </w:tcPr>
          <w:p w14:paraId="0E7C636E">
            <w:pPr>
              <w:widowControl/>
              <w:jc w:val="center"/>
              <w:rPr>
                <w:rFonts w:ascii="宋体" w:hAnsi="宋体" w:eastAsia="宋体" w:cs="宋体"/>
                <w:b/>
                <w:bCs/>
                <w:kern w:val="0"/>
                <w:sz w:val="22"/>
                <w:szCs w:val="22"/>
              </w:rPr>
            </w:pPr>
            <w:r>
              <w:rPr>
                <w:rFonts w:ascii="宋体" w:hAnsi="宋体" w:eastAsia="宋体" w:cs="宋体"/>
                <w:b/>
                <w:bCs/>
                <w:kern w:val="0"/>
                <w:sz w:val="22"/>
                <w:szCs w:val="22"/>
              </w:rPr>
              <w:t>基准分值</w:t>
            </w:r>
          </w:p>
        </w:tc>
      </w:tr>
      <w:tr w14:paraId="25953B15">
        <w:tblPrEx>
          <w:tblCellMar>
            <w:top w:w="0" w:type="dxa"/>
            <w:left w:w="108" w:type="dxa"/>
            <w:bottom w:w="0" w:type="dxa"/>
            <w:right w:w="108" w:type="dxa"/>
          </w:tblCellMar>
        </w:tblPrEx>
        <w:trPr>
          <w:trHeight w:val="270" w:hRule="atLeast"/>
        </w:trPr>
        <w:tc>
          <w:tcPr>
            <w:tcW w:w="5000" w:type="pct"/>
            <w:gridSpan w:val="4"/>
            <w:tcBorders>
              <w:top w:val="single" w:color="auto" w:sz="4" w:space="0"/>
              <w:left w:val="single" w:color="auto" w:sz="4" w:space="0"/>
              <w:bottom w:val="single" w:color="auto" w:sz="4" w:space="0"/>
              <w:right w:val="single" w:color="auto" w:sz="4" w:space="0"/>
            </w:tcBorders>
            <w:noWrap/>
            <w:vAlign w:val="center"/>
          </w:tcPr>
          <w:p w14:paraId="5C723CD9">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（一）价格评分（10分）</w:t>
            </w:r>
          </w:p>
        </w:tc>
      </w:tr>
      <w:tr w14:paraId="502E0E40">
        <w:tblPrEx>
          <w:tblCellMar>
            <w:top w:w="0" w:type="dxa"/>
            <w:left w:w="108" w:type="dxa"/>
            <w:bottom w:w="0" w:type="dxa"/>
            <w:right w:w="108" w:type="dxa"/>
          </w:tblCellMar>
        </w:tblPrEx>
        <w:trPr>
          <w:trHeight w:val="1080" w:hRule="atLeast"/>
        </w:trPr>
        <w:tc>
          <w:tcPr>
            <w:tcW w:w="384" w:type="pct"/>
            <w:tcBorders>
              <w:top w:val="nil"/>
              <w:left w:val="single" w:color="auto" w:sz="4" w:space="0"/>
              <w:bottom w:val="single" w:color="auto" w:sz="4" w:space="0"/>
              <w:right w:val="single" w:color="auto" w:sz="4" w:space="0"/>
            </w:tcBorders>
            <w:noWrap/>
            <w:vAlign w:val="center"/>
          </w:tcPr>
          <w:p w14:paraId="69085DD5">
            <w:pPr>
              <w:widowControl/>
              <w:jc w:val="center"/>
              <w:rPr>
                <w:rFonts w:ascii="宋体" w:hAnsi="宋体" w:eastAsia="宋体" w:cs="宋体"/>
                <w:color w:val="000000"/>
                <w:kern w:val="0"/>
                <w:sz w:val="22"/>
                <w:szCs w:val="22"/>
              </w:rPr>
            </w:pPr>
            <w:r>
              <w:rPr>
                <w:rFonts w:ascii="宋体" w:hAnsi="宋体" w:eastAsia="宋体" w:cs="宋体"/>
                <w:color w:val="000000"/>
                <w:kern w:val="0"/>
                <w:sz w:val="22"/>
                <w:szCs w:val="22"/>
              </w:rPr>
              <w:t>1</w:t>
            </w:r>
          </w:p>
        </w:tc>
        <w:tc>
          <w:tcPr>
            <w:tcW w:w="770" w:type="pct"/>
            <w:tcBorders>
              <w:top w:val="nil"/>
              <w:left w:val="nil"/>
              <w:bottom w:val="single" w:color="auto" w:sz="4" w:space="0"/>
              <w:right w:val="single" w:color="auto" w:sz="4" w:space="0"/>
            </w:tcBorders>
            <w:noWrap/>
            <w:vAlign w:val="center"/>
          </w:tcPr>
          <w:p w14:paraId="01049FFB">
            <w:pPr>
              <w:widowControl/>
              <w:jc w:val="center"/>
              <w:rPr>
                <w:rFonts w:ascii="宋体" w:hAnsi="宋体" w:eastAsia="宋体" w:cs="宋体"/>
                <w:color w:val="000000"/>
                <w:kern w:val="0"/>
                <w:sz w:val="22"/>
                <w:szCs w:val="22"/>
              </w:rPr>
            </w:pPr>
            <w:r>
              <w:rPr>
                <w:rFonts w:ascii="宋体" w:hAnsi="宋体" w:eastAsia="宋体" w:cs="宋体"/>
                <w:color w:val="000000"/>
                <w:kern w:val="0"/>
                <w:sz w:val="22"/>
                <w:szCs w:val="22"/>
              </w:rPr>
              <w:t>投标报价</w:t>
            </w:r>
          </w:p>
        </w:tc>
        <w:tc>
          <w:tcPr>
            <w:tcW w:w="3204" w:type="pct"/>
            <w:tcBorders>
              <w:top w:val="nil"/>
              <w:left w:val="nil"/>
              <w:bottom w:val="single" w:color="auto" w:sz="4" w:space="0"/>
              <w:right w:val="single" w:color="auto" w:sz="4" w:space="0"/>
            </w:tcBorders>
            <w:vAlign w:val="center"/>
          </w:tcPr>
          <w:p w14:paraId="297A0D5E">
            <w:pPr>
              <w:widowControl/>
              <w:jc w:val="center"/>
              <w:rPr>
                <w:rFonts w:ascii="宋体" w:hAnsi="宋体" w:eastAsia="宋体" w:cs="宋体"/>
                <w:color w:val="000000"/>
                <w:kern w:val="0"/>
                <w:sz w:val="22"/>
                <w:szCs w:val="22"/>
              </w:rPr>
            </w:pPr>
            <w:r>
              <w:rPr>
                <w:rFonts w:ascii="宋体" w:hAnsi="宋体" w:eastAsia="宋体" w:cs="宋体"/>
                <w:color w:val="000000"/>
                <w:kern w:val="0"/>
                <w:sz w:val="22"/>
                <w:szCs w:val="22"/>
              </w:rPr>
              <w:t>价格分统一采用低价优先法，即满足招标文件要求且投标价格最低的投标报价为评标基准价，其价格分为满分10分。其他投标人的价格分统一按照下列公式计算：</w:t>
            </w:r>
            <w:r>
              <w:rPr>
                <w:rFonts w:ascii="宋体" w:hAnsi="宋体" w:eastAsia="宋体" w:cs="宋体"/>
                <w:color w:val="000000"/>
                <w:kern w:val="0"/>
                <w:sz w:val="22"/>
                <w:szCs w:val="22"/>
              </w:rPr>
              <w:br w:type="textWrapping"/>
            </w:r>
            <w:r>
              <w:rPr>
                <w:rFonts w:ascii="宋体" w:hAnsi="宋体" w:eastAsia="宋体" w:cs="宋体"/>
                <w:color w:val="000000"/>
                <w:kern w:val="0"/>
                <w:sz w:val="22"/>
                <w:szCs w:val="22"/>
              </w:rPr>
              <w:t>投标报价得分＝（评标基准价/投标报价）×10％×100</w:t>
            </w:r>
          </w:p>
        </w:tc>
        <w:tc>
          <w:tcPr>
            <w:tcW w:w="642" w:type="pct"/>
            <w:tcBorders>
              <w:top w:val="nil"/>
              <w:left w:val="nil"/>
              <w:bottom w:val="single" w:color="auto" w:sz="4" w:space="0"/>
              <w:right w:val="single" w:color="auto" w:sz="4" w:space="0"/>
            </w:tcBorders>
            <w:noWrap/>
            <w:vAlign w:val="center"/>
          </w:tcPr>
          <w:p w14:paraId="4A5F96EE">
            <w:pPr>
              <w:widowControl/>
              <w:jc w:val="center"/>
              <w:rPr>
                <w:rFonts w:ascii="宋体" w:hAnsi="宋体" w:eastAsia="宋体" w:cs="宋体"/>
                <w:color w:val="000000"/>
                <w:kern w:val="0"/>
                <w:sz w:val="22"/>
                <w:szCs w:val="22"/>
              </w:rPr>
            </w:pPr>
            <w:r>
              <w:rPr>
                <w:rFonts w:ascii="宋体" w:hAnsi="宋体" w:eastAsia="宋体" w:cs="宋体"/>
                <w:color w:val="000000"/>
                <w:kern w:val="0"/>
                <w:sz w:val="22"/>
                <w:szCs w:val="22"/>
              </w:rPr>
              <w:t>10</w:t>
            </w:r>
          </w:p>
        </w:tc>
      </w:tr>
      <w:tr w14:paraId="2EFA9DD4">
        <w:tblPrEx>
          <w:tblCellMar>
            <w:top w:w="0" w:type="dxa"/>
            <w:left w:w="108" w:type="dxa"/>
            <w:bottom w:w="0" w:type="dxa"/>
            <w:right w:w="108" w:type="dxa"/>
          </w:tblCellMar>
        </w:tblPrEx>
        <w:trPr>
          <w:trHeight w:val="270" w:hRule="atLeast"/>
        </w:trPr>
        <w:tc>
          <w:tcPr>
            <w:tcW w:w="5000" w:type="pct"/>
            <w:gridSpan w:val="4"/>
            <w:tcBorders>
              <w:top w:val="single" w:color="auto" w:sz="4" w:space="0"/>
              <w:left w:val="single" w:color="auto" w:sz="4" w:space="0"/>
              <w:bottom w:val="single" w:color="auto" w:sz="4" w:space="0"/>
              <w:right w:val="single" w:color="auto" w:sz="4" w:space="0"/>
            </w:tcBorders>
            <w:noWrap/>
            <w:vAlign w:val="center"/>
          </w:tcPr>
          <w:p w14:paraId="11E5910F">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（二）技术评分（</w:t>
            </w:r>
            <w:r>
              <w:rPr>
                <w:rFonts w:hint="eastAsia" w:ascii="宋体" w:hAnsi="宋体" w:eastAsia="宋体" w:cs="宋体"/>
                <w:b/>
                <w:bCs/>
                <w:color w:val="000000"/>
                <w:kern w:val="0"/>
                <w:sz w:val="22"/>
                <w:szCs w:val="22"/>
              </w:rPr>
              <w:t>60</w:t>
            </w:r>
            <w:r>
              <w:rPr>
                <w:rFonts w:ascii="宋体" w:hAnsi="宋体" w:eastAsia="宋体" w:cs="宋体"/>
                <w:b/>
                <w:bCs/>
                <w:color w:val="000000"/>
                <w:kern w:val="0"/>
                <w:sz w:val="22"/>
                <w:szCs w:val="22"/>
              </w:rPr>
              <w:t>分）</w:t>
            </w:r>
          </w:p>
        </w:tc>
      </w:tr>
      <w:tr w14:paraId="5DBABE08">
        <w:tblPrEx>
          <w:tblCellMar>
            <w:top w:w="0" w:type="dxa"/>
            <w:left w:w="108" w:type="dxa"/>
            <w:bottom w:w="0" w:type="dxa"/>
            <w:right w:w="108" w:type="dxa"/>
          </w:tblCellMar>
        </w:tblPrEx>
        <w:trPr>
          <w:trHeight w:val="1080" w:hRule="atLeast"/>
        </w:trPr>
        <w:tc>
          <w:tcPr>
            <w:tcW w:w="384" w:type="pct"/>
            <w:tcBorders>
              <w:top w:val="nil"/>
              <w:left w:val="single" w:color="auto" w:sz="4" w:space="0"/>
              <w:bottom w:val="single" w:color="auto" w:sz="4" w:space="0"/>
              <w:right w:val="single" w:color="auto" w:sz="4" w:space="0"/>
            </w:tcBorders>
            <w:noWrap/>
            <w:vAlign w:val="center"/>
          </w:tcPr>
          <w:p w14:paraId="5F859C64">
            <w:pPr>
              <w:widowControl/>
              <w:jc w:val="center"/>
              <w:rPr>
                <w:rFonts w:ascii="宋体" w:hAnsi="宋体" w:eastAsia="宋体" w:cs="宋体"/>
                <w:kern w:val="0"/>
                <w:sz w:val="22"/>
                <w:szCs w:val="22"/>
              </w:rPr>
            </w:pPr>
            <w:r>
              <w:rPr>
                <w:rFonts w:hint="eastAsia" w:ascii="宋体" w:hAnsi="宋体" w:eastAsia="宋体" w:cs="宋体"/>
                <w:color w:val="000000"/>
                <w:kern w:val="0"/>
                <w:sz w:val="18"/>
                <w:szCs w:val="18"/>
                <w:lang w:bidi="ar"/>
              </w:rPr>
              <w:t>1</w:t>
            </w:r>
          </w:p>
        </w:tc>
        <w:tc>
          <w:tcPr>
            <w:tcW w:w="770" w:type="pct"/>
            <w:tcBorders>
              <w:top w:val="nil"/>
              <w:left w:val="nil"/>
              <w:bottom w:val="single" w:color="auto" w:sz="4" w:space="0"/>
              <w:right w:val="single" w:color="auto" w:sz="4" w:space="0"/>
            </w:tcBorders>
            <w:vAlign w:val="center"/>
          </w:tcPr>
          <w:p w14:paraId="23CD8205">
            <w:pPr>
              <w:widowControl/>
              <w:jc w:val="center"/>
              <w:rPr>
                <w:rFonts w:ascii="宋体" w:hAnsi="宋体" w:eastAsia="宋体" w:cs="宋体"/>
                <w:color w:val="000000"/>
                <w:kern w:val="0"/>
                <w:sz w:val="22"/>
                <w:szCs w:val="22"/>
              </w:rPr>
            </w:pPr>
            <w:r>
              <w:rPr>
                <w:rFonts w:hint="eastAsia" w:ascii="宋体" w:hAnsi="宋体" w:eastAsia="宋体" w:cs="宋体"/>
              </w:rPr>
              <w:t>全网设备全覆盖运维方案</w:t>
            </w:r>
          </w:p>
        </w:tc>
        <w:tc>
          <w:tcPr>
            <w:tcW w:w="3204" w:type="pct"/>
            <w:tcBorders>
              <w:top w:val="nil"/>
              <w:left w:val="nil"/>
              <w:bottom w:val="single" w:color="auto" w:sz="4" w:space="0"/>
              <w:right w:val="single" w:color="auto" w:sz="4" w:space="0"/>
            </w:tcBorders>
            <w:vAlign w:val="center"/>
          </w:tcPr>
          <w:p w14:paraId="1E01BD8E">
            <w:pPr>
              <w:widowControl/>
              <w:rPr>
                <w:rFonts w:ascii="宋体" w:hAnsi="宋体" w:eastAsia="宋体" w:cs="宋体"/>
                <w:color w:val="000000"/>
                <w:kern w:val="0"/>
                <w:sz w:val="22"/>
                <w:szCs w:val="22"/>
              </w:rPr>
            </w:pPr>
            <w:r>
              <w:rPr>
                <w:rFonts w:hint="eastAsia" w:ascii="宋体" w:hAnsi="宋体" w:eastAsia="宋体" w:cs="宋体"/>
              </w:rPr>
              <w:t>方案完整覆盖互联网、医疗专网、电子政务外网、公内网、机房交换机等全部网络硬件设备，运维边界清晰、覆盖无死角，完全贴合本项目机房组网架构，得3-4分；覆盖主要设备，少量细分设备未提及，表述较通用，得1-2分；设备覆盖范围缺失严重、方案笼统，得0分。</w:t>
            </w:r>
          </w:p>
        </w:tc>
        <w:tc>
          <w:tcPr>
            <w:tcW w:w="642" w:type="pct"/>
            <w:tcBorders>
              <w:top w:val="nil"/>
              <w:left w:val="nil"/>
              <w:bottom w:val="single" w:color="auto" w:sz="4" w:space="0"/>
              <w:right w:val="single" w:color="auto" w:sz="4" w:space="0"/>
            </w:tcBorders>
            <w:noWrap/>
            <w:vAlign w:val="center"/>
          </w:tcPr>
          <w:p w14:paraId="43D1ABDB">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r>
      <w:tr w14:paraId="1D571DE0">
        <w:tblPrEx>
          <w:tblCellMar>
            <w:top w:w="0" w:type="dxa"/>
            <w:left w:w="108" w:type="dxa"/>
            <w:bottom w:w="0" w:type="dxa"/>
            <w:right w:w="108" w:type="dxa"/>
          </w:tblCellMar>
        </w:tblPrEx>
        <w:trPr>
          <w:trHeight w:val="2160" w:hRule="atLeast"/>
        </w:trPr>
        <w:tc>
          <w:tcPr>
            <w:tcW w:w="384" w:type="pct"/>
            <w:tcBorders>
              <w:top w:val="nil"/>
              <w:left w:val="single" w:color="auto" w:sz="4" w:space="0"/>
              <w:bottom w:val="single" w:color="auto" w:sz="4" w:space="0"/>
              <w:right w:val="single" w:color="auto" w:sz="4" w:space="0"/>
            </w:tcBorders>
            <w:noWrap/>
            <w:vAlign w:val="center"/>
          </w:tcPr>
          <w:p w14:paraId="60193210">
            <w:pPr>
              <w:widowControl/>
              <w:jc w:val="center"/>
              <w:rPr>
                <w:rFonts w:ascii="宋体" w:hAnsi="宋体" w:eastAsia="宋体" w:cs="宋体"/>
                <w:kern w:val="0"/>
                <w:sz w:val="22"/>
                <w:szCs w:val="22"/>
              </w:rPr>
            </w:pPr>
            <w:r>
              <w:rPr>
                <w:rFonts w:hint="eastAsia" w:ascii="宋体" w:hAnsi="宋体" w:eastAsia="宋体" w:cs="宋体"/>
                <w:color w:val="000000"/>
                <w:kern w:val="0"/>
                <w:sz w:val="18"/>
                <w:szCs w:val="18"/>
                <w:lang w:bidi="ar"/>
              </w:rPr>
              <w:t>2</w:t>
            </w:r>
          </w:p>
        </w:tc>
        <w:tc>
          <w:tcPr>
            <w:tcW w:w="770" w:type="pct"/>
            <w:tcBorders>
              <w:top w:val="nil"/>
              <w:left w:val="nil"/>
              <w:bottom w:val="single" w:color="auto" w:sz="4" w:space="0"/>
              <w:right w:val="single" w:color="auto" w:sz="4" w:space="0"/>
            </w:tcBorders>
            <w:vAlign w:val="center"/>
          </w:tcPr>
          <w:p w14:paraId="41A28500">
            <w:pPr>
              <w:widowControl/>
              <w:jc w:val="center"/>
              <w:rPr>
                <w:rFonts w:ascii="宋体" w:hAnsi="宋体" w:eastAsia="宋体" w:cs="宋体"/>
                <w:color w:val="000000"/>
                <w:kern w:val="0"/>
                <w:sz w:val="22"/>
                <w:szCs w:val="22"/>
              </w:rPr>
            </w:pPr>
            <w:r>
              <w:rPr>
                <w:rFonts w:hint="eastAsia" w:ascii="宋体" w:hAnsi="宋体" w:eastAsia="宋体" w:cs="宋体"/>
              </w:rPr>
              <w:t>核心网络运维与故障处置机制</w:t>
            </w:r>
          </w:p>
        </w:tc>
        <w:tc>
          <w:tcPr>
            <w:tcW w:w="3204" w:type="pct"/>
            <w:tcBorders>
              <w:top w:val="nil"/>
              <w:left w:val="nil"/>
              <w:bottom w:val="single" w:color="auto" w:sz="4" w:space="0"/>
              <w:right w:val="single" w:color="auto" w:sz="4" w:space="0"/>
            </w:tcBorders>
            <w:vAlign w:val="center"/>
          </w:tcPr>
          <w:p w14:paraId="12D52E24">
            <w:pPr>
              <w:widowControl/>
              <w:rPr>
                <w:rFonts w:ascii="宋体" w:hAnsi="宋体" w:eastAsia="宋体" w:cs="宋体"/>
                <w:color w:val="000000"/>
                <w:kern w:val="0"/>
                <w:sz w:val="22"/>
                <w:szCs w:val="22"/>
              </w:rPr>
            </w:pPr>
            <w:r>
              <w:rPr>
                <w:rFonts w:hint="eastAsia" w:ascii="宋体" w:hAnsi="宋体" w:eastAsia="宋体" w:cs="宋体"/>
              </w:rPr>
              <w:t>完整包含全网网络规划、IP网段划分、设备配置调试、跨区域链路排查、路由策略优化、内网权限精细化管控等核心工作，明确省级核心业务中断15分钟内到场处置，流程标准、响应时效明确，得3-4分；仅包含基础运维内容，核心管控、快速响应机制不完善，得1-2分；核心运维内容缺失、无明确处置时效，得0分。</w:t>
            </w:r>
          </w:p>
        </w:tc>
        <w:tc>
          <w:tcPr>
            <w:tcW w:w="642" w:type="pct"/>
            <w:tcBorders>
              <w:top w:val="nil"/>
              <w:left w:val="nil"/>
              <w:bottom w:val="single" w:color="auto" w:sz="4" w:space="0"/>
              <w:right w:val="single" w:color="auto" w:sz="4" w:space="0"/>
            </w:tcBorders>
            <w:noWrap/>
            <w:vAlign w:val="center"/>
          </w:tcPr>
          <w:p w14:paraId="1757C617">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r>
      <w:tr w14:paraId="6ED6C2BB">
        <w:tblPrEx>
          <w:tblCellMar>
            <w:top w:w="0" w:type="dxa"/>
            <w:left w:w="108" w:type="dxa"/>
            <w:bottom w:w="0" w:type="dxa"/>
            <w:right w:w="108" w:type="dxa"/>
          </w:tblCellMar>
        </w:tblPrEx>
        <w:trPr>
          <w:trHeight w:val="810" w:hRule="atLeast"/>
        </w:trPr>
        <w:tc>
          <w:tcPr>
            <w:tcW w:w="384" w:type="pct"/>
            <w:tcBorders>
              <w:top w:val="nil"/>
              <w:left w:val="single" w:color="auto" w:sz="4" w:space="0"/>
              <w:bottom w:val="single" w:color="auto" w:sz="4" w:space="0"/>
              <w:right w:val="single" w:color="auto" w:sz="4" w:space="0"/>
            </w:tcBorders>
            <w:noWrap/>
            <w:vAlign w:val="center"/>
          </w:tcPr>
          <w:p w14:paraId="3221D2B9">
            <w:pPr>
              <w:widowControl/>
              <w:jc w:val="center"/>
              <w:rPr>
                <w:rFonts w:ascii="宋体" w:hAnsi="宋体" w:eastAsia="宋体" w:cs="宋体"/>
                <w:kern w:val="0"/>
                <w:sz w:val="22"/>
                <w:szCs w:val="22"/>
              </w:rPr>
            </w:pPr>
            <w:r>
              <w:rPr>
                <w:rFonts w:hint="eastAsia" w:ascii="宋体" w:hAnsi="宋体" w:eastAsia="宋体" w:cs="宋体"/>
                <w:color w:val="000000"/>
                <w:kern w:val="0"/>
                <w:sz w:val="18"/>
                <w:szCs w:val="18"/>
                <w:lang w:bidi="ar"/>
              </w:rPr>
              <w:t>3</w:t>
            </w:r>
          </w:p>
        </w:tc>
        <w:tc>
          <w:tcPr>
            <w:tcW w:w="770" w:type="pct"/>
            <w:tcBorders>
              <w:top w:val="nil"/>
              <w:left w:val="nil"/>
              <w:bottom w:val="single" w:color="auto" w:sz="4" w:space="0"/>
              <w:right w:val="single" w:color="auto" w:sz="4" w:space="0"/>
            </w:tcBorders>
            <w:vAlign w:val="center"/>
          </w:tcPr>
          <w:p w14:paraId="569DCD76">
            <w:pPr>
              <w:widowControl/>
              <w:jc w:val="center"/>
              <w:rPr>
                <w:rFonts w:ascii="宋体" w:hAnsi="宋体" w:eastAsia="宋体" w:cs="宋体"/>
                <w:color w:val="000000"/>
                <w:kern w:val="0"/>
                <w:sz w:val="22"/>
                <w:szCs w:val="22"/>
              </w:rPr>
            </w:pPr>
            <w:r>
              <w:rPr>
                <w:rFonts w:hint="eastAsia" w:ascii="宋体" w:hAnsi="宋体" w:eastAsia="宋体" w:cs="宋体"/>
              </w:rPr>
              <w:t>月度全覆盖巡检与隐患闭环机制</w:t>
            </w:r>
          </w:p>
        </w:tc>
        <w:tc>
          <w:tcPr>
            <w:tcW w:w="3204" w:type="pct"/>
            <w:tcBorders>
              <w:top w:val="nil"/>
              <w:left w:val="nil"/>
              <w:bottom w:val="single" w:color="auto" w:sz="4" w:space="0"/>
              <w:right w:val="single" w:color="auto" w:sz="4" w:space="0"/>
            </w:tcBorders>
            <w:vAlign w:val="center"/>
          </w:tcPr>
          <w:p w14:paraId="7EE001ED">
            <w:pPr>
              <w:widowControl/>
              <w:rPr>
                <w:rFonts w:ascii="宋体" w:hAnsi="宋体" w:eastAsia="宋体" w:cs="宋体"/>
                <w:color w:val="000000"/>
                <w:kern w:val="0"/>
                <w:sz w:val="22"/>
                <w:szCs w:val="22"/>
              </w:rPr>
            </w:pPr>
            <w:r>
              <w:rPr>
                <w:rFonts w:hint="eastAsia" w:ascii="宋体" w:hAnsi="宋体" w:eastAsia="宋体" w:cs="宋体"/>
              </w:rPr>
              <w:t>明确每月1次机房全网设备全覆盖现场巡检，细化温度、端口、带宽、设备负载、告警等巡检指标，具备即时故障处置、隐患排查、专项整改建议、全程跟踪闭环、月度归档机制，标准完整可落地，得3-4分；具备月度巡检机制，但指标不全、无隐患闭环整改流程，得1-2分；无标准化月度巡检制度，得0分。</w:t>
            </w:r>
          </w:p>
        </w:tc>
        <w:tc>
          <w:tcPr>
            <w:tcW w:w="642" w:type="pct"/>
            <w:tcBorders>
              <w:top w:val="nil"/>
              <w:left w:val="nil"/>
              <w:bottom w:val="single" w:color="auto" w:sz="4" w:space="0"/>
              <w:right w:val="single" w:color="auto" w:sz="4" w:space="0"/>
            </w:tcBorders>
            <w:noWrap/>
            <w:vAlign w:val="center"/>
          </w:tcPr>
          <w:p w14:paraId="72B6EE09">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r>
      <w:tr w14:paraId="6DD99D80">
        <w:tblPrEx>
          <w:tblCellMar>
            <w:top w:w="0" w:type="dxa"/>
            <w:left w:w="108" w:type="dxa"/>
            <w:bottom w:w="0" w:type="dxa"/>
            <w:right w:w="108" w:type="dxa"/>
          </w:tblCellMar>
        </w:tblPrEx>
        <w:trPr>
          <w:trHeight w:val="810" w:hRule="atLeast"/>
        </w:trPr>
        <w:tc>
          <w:tcPr>
            <w:tcW w:w="384" w:type="pct"/>
            <w:tcBorders>
              <w:top w:val="nil"/>
              <w:left w:val="single" w:color="auto" w:sz="4" w:space="0"/>
              <w:bottom w:val="single" w:color="auto" w:sz="4" w:space="0"/>
              <w:right w:val="single" w:color="auto" w:sz="4" w:space="0"/>
            </w:tcBorders>
            <w:noWrap/>
            <w:vAlign w:val="center"/>
          </w:tcPr>
          <w:p w14:paraId="3FF97CB1">
            <w:pPr>
              <w:widowControl/>
              <w:jc w:val="center"/>
              <w:rPr>
                <w:rFonts w:ascii="宋体" w:hAnsi="宋体" w:eastAsia="宋体" w:cs="宋体"/>
                <w:kern w:val="0"/>
                <w:sz w:val="22"/>
                <w:szCs w:val="22"/>
              </w:rPr>
            </w:pPr>
            <w:r>
              <w:rPr>
                <w:rFonts w:hint="eastAsia" w:ascii="宋体" w:hAnsi="宋体" w:eastAsia="宋体" w:cs="宋体"/>
                <w:color w:val="000000"/>
                <w:kern w:val="0"/>
                <w:sz w:val="18"/>
                <w:szCs w:val="18"/>
                <w:lang w:bidi="ar"/>
              </w:rPr>
              <w:t>4</w:t>
            </w:r>
          </w:p>
        </w:tc>
        <w:tc>
          <w:tcPr>
            <w:tcW w:w="770" w:type="pct"/>
            <w:tcBorders>
              <w:top w:val="nil"/>
              <w:left w:val="nil"/>
              <w:bottom w:val="single" w:color="auto" w:sz="4" w:space="0"/>
              <w:right w:val="single" w:color="auto" w:sz="4" w:space="0"/>
            </w:tcBorders>
            <w:vAlign w:val="center"/>
          </w:tcPr>
          <w:p w14:paraId="61315669">
            <w:pPr>
              <w:widowControl/>
              <w:jc w:val="center"/>
              <w:rPr>
                <w:rFonts w:ascii="宋体" w:hAnsi="宋体" w:eastAsia="宋体" w:cs="宋体"/>
                <w:color w:val="000000"/>
                <w:kern w:val="0"/>
                <w:sz w:val="22"/>
                <w:szCs w:val="22"/>
              </w:rPr>
            </w:pPr>
            <w:r>
              <w:rPr>
                <w:rFonts w:hint="eastAsia" w:ascii="宋体" w:hAnsi="宋体" w:eastAsia="宋体" w:cs="宋体"/>
              </w:rPr>
              <w:t>常态化网络基础管理机制</w:t>
            </w:r>
          </w:p>
        </w:tc>
        <w:tc>
          <w:tcPr>
            <w:tcW w:w="3204" w:type="pct"/>
            <w:tcBorders>
              <w:top w:val="nil"/>
              <w:left w:val="nil"/>
              <w:bottom w:val="single" w:color="auto" w:sz="4" w:space="0"/>
              <w:right w:val="single" w:color="auto" w:sz="4" w:space="0"/>
            </w:tcBorders>
            <w:vAlign w:val="center"/>
          </w:tcPr>
          <w:p w14:paraId="3CCCD841">
            <w:pPr>
              <w:widowControl/>
              <w:rPr>
                <w:rFonts w:ascii="宋体" w:hAnsi="宋体" w:eastAsia="宋体" w:cs="宋体"/>
                <w:color w:val="000000"/>
                <w:kern w:val="0"/>
                <w:sz w:val="22"/>
                <w:szCs w:val="22"/>
              </w:rPr>
            </w:pPr>
            <w:r>
              <w:rPr>
                <w:rFonts w:hint="eastAsia" w:ascii="宋体" w:hAnsi="宋体" w:eastAsia="宋体" w:cs="宋体"/>
              </w:rPr>
              <w:t>完整包含季度策略梳理、拓扑动态更新、每周配置备份、运维日志留存、资产台账动态更新、季度风险排查六项基础管理工作，各项工作频次、流程、交付物明确，管控规范，得3-4分；包含3项及以上基础工作，但流程简略、无明确管控标准，得1-2分；基础管理机制缺失过半，得0分。</w:t>
            </w:r>
          </w:p>
        </w:tc>
        <w:tc>
          <w:tcPr>
            <w:tcW w:w="642" w:type="pct"/>
            <w:tcBorders>
              <w:top w:val="nil"/>
              <w:left w:val="nil"/>
              <w:bottom w:val="single" w:color="auto" w:sz="4" w:space="0"/>
              <w:right w:val="single" w:color="auto" w:sz="4" w:space="0"/>
            </w:tcBorders>
            <w:noWrap/>
            <w:vAlign w:val="center"/>
          </w:tcPr>
          <w:p w14:paraId="199114DA">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r>
      <w:tr w14:paraId="1FF225E6">
        <w:tblPrEx>
          <w:tblCellMar>
            <w:top w:w="0" w:type="dxa"/>
            <w:left w:w="108" w:type="dxa"/>
            <w:bottom w:w="0" w:type="dxa"/>
            <w:right w:w="108" w:type="dxa"/>
          </w:tblCellMar>
        </w:tblPrEx>
        <w:trPr>
          <w:trHeight w:val="810" w:hRule="atLeast"/>
        </w:trPr>
        <w:tc>
          <w:tcPr>
            <w:tcW w:w="384" w:type="pct"/>
            <w:tcBorders>
              <w:top w:val="nil"/>
              <w:left w:val="single" w:color="auto" w:sz="4" w:space="0"/>
              <w:bottom w:val="single" w:color="auto" w:sz="4" w:space="0"/>
              <w:right w:val="single" w:color="auto" w:sz="4" w:space="0"/>
            </w:tcBorders>
            <w:noWrap/>
            <w:vAlign w:val="center"/>
          </w:tcPr>
          <w:p w14:paraId="507C1B14">
            <w:pPr>
              <w:widowControl/>
              <w:jc w:val="center"/>
              <w:rPr>
                <w:rFonts w:ascii="宋体" w:hAnsi="宋体" w:eastAsia="宋体" w:cs="宋体"/>
                <w:kern w:val="0"/>
                <w:sz w:val="22"/>
                <w:szCs w:val="22"/>
              </w:rPr>
            </w:pPr>
            <w:r>
              <w:rPr>
                <w:rFonts w:hint="eastAsia" w:ascii="宋体" w:hAnsi="宋体" w:eastAsia="宋体" w:cs="宋体"/>
                <w:color w:val="000000"/>
                <w:kern w:val="0"/>
                <w:sz w:val="18"/>
                <w:szCs w:val="18"/>
                <w:lang w:bidi="ar"/>
              </w:rPr>
              <w:t>5</w:t>
            </w:r>
          </w:p>
        </w:tc>
        <w:tc>
          <w:tcPr>
            <w:tcW w:w="770" w:type="pct"/>
            <w:tcBorders>
              <w:top w:val="nil"/>
              <w:left w:val="nil"/>
              <w:bottom w:val="single" w:color="auto" w:sz="4" w:space="0"/>
              <w:right w:val="single" w:color="auto" w:sz="4" w:space="0"/>
            </w:tcBorders>
            <w:vAlign w:val="center"/>
          </w:tcPr>
          <w:p w14:paraId="4427B78A">
            <w:pPr>
              <w:widowControl/>
              <w:jc w:val="center"/>
              <w:rPr>
                <w:rFonts w:ascii="宋体" w:hAnsi="宋体" w:eastAsia="宋体" w:cs="宋体"/>
                <w:color w:val="000000"/>
                <w:kern w:val="0"/>
                <w:sz w:val="22"/>
                <w:szCs w:val="22"/>
              </w:rPr>
            </w:pPr>
            <w:r>
              <w:rPr>
                <w:rFonts w:hint="eastAsia" w:ascii="宋体" w:hAnsi="宋体" w:eastAsia="宋体" w:cs="宋体"/>
              </w:rPr>
              <w:t>安全支撑与重点时期值守保障</w:t>
            </w:r>
          </w:p>
        </w:tc>
        <w:tc>
          <w:tcPr>
            <w:tcW w:w="3204" w:type="pct"/>
            <w:tcBorders>
              <w:top w:val="nil"/>
              <w:left w:val="nil"/>
              <w:bottom w:val="single" w:color="auto" w:sz="4" w:space="0"/>
              <w:right w:val="single" w:color="auto" w:sz="4" w:space="0"/>
            </w:tcBorders>
            <w:vAlign w:val="center"/>
          </w:tcPr>
          <w:p w14:paraId="42B90AD7">
            <w:pPr>
              <w:widowControl/>
              <w:rPr>
                <w:rFonts w:ascii="宋体" w:hAnsi="宋体" w:eastAsia="宋体" w:cs="宋体"/>
                <w:color w:val="000000"/>
                <w:kern w:val="0"/>
                <w:sz w:val="22"/>
                <w:szCs w:val="22"/>
              </w:rPr>
            </w:pPr>
            <w:r>
              <w:rPr>
                <w:rFonts w:hint="eastAsia" w:ascii="宋体" w:hAnsi="宋体" w:eastAsia="宋体" w:cs="宋体"/>
              </w:rPr>
              <w:t>可全面配合等保测评、网络安全专项检查，提供全套网络技术支撑；明确重大会议、节假日、公共卫生应急等敏感时期7×24值守制度，落实每日运行简报报送，机制完善，得3-4分；具备基础安全支撑和值守机制，但无常态化报送、专项保障细则，得1-2分；无安全支撑及重点时期值守方案，得0分。</w:t>
            </w:r>
          </w:p>
        </w:tc>
        <w:tc>
          <w:tcPr>
            <w:tcW w:w="642" w:type="pct"/>
            <w:tcBorders>
              <w:top w:val="nil"/>
              <w:left w:val="nil"/>
              <w:bottom w:val="single" w:color="auto" w:sz="4" w:space="0"/>
              <w:right w:val="single" w:color="auto" w:sz="4" w:space="0"/>
            </w:tcBorders>
            <w:noWrap/>
            <w:vAlign w:val="center"/>
          </w:tcPr>
          <w:p w14:paraId="4FE1AE8D">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r>
      <w:tr w14:paraId="11F90FB5">
        <w:tblPrEx>
          <w:tblCellMar>
            <w:top w:w="0" w:type="dxa"/>
            <w:left w:w="108" w:type="dxa"/>
            <w:bottom w:w="0" w:type="dxa"/>
            <w:right w:w="108" w:type="dxa"/>
          </w:tblCellMar>
        </w:tblPrEx>
        <w:trPr>
          <w:trHeight w:val="810" w:hRule="atLeast"/>
        </w:trPr>
        <w:tc>
          <w:tcPr>
            <w:tcW w:w="384" w:type="pct"/>
            <w:tcBorders>
              <w:top w:val="nil"/>
              <w:left w:val="single" w:color="auto" w:sz="4" w:space="0"/>
              <w:bottom w:val="single" w:color="auto" w:sz="4" w:space="0"/>
              <w:right w:val="single" w:color="auto" w:sz="4" w:space="0"/>
            </w:tcBorders>
            <w:noWrap/>
            <w:vAlign w:val="center"/>
          </w:tcPr>
          <w:p w14:paraId="27A4B7C1">
            <w:pPr>
              <w:widowControl/>
              <w:jc w:val="center"/>
              <w:rPr>
                <w:rFonts w:ascii="宋体" w:hAnsi="宋体" w:eastAsia="宋体" w:cs="宋体"/>
                <w:kern w:val="0"/>
                <w:sz w:val="22"/>
                <w:szCs w:val="22"/>
              </w:rPr>
            </w:pPr>
            <w:r>
              <w:rPr>
                <w:rFonts w:hint="eastAsia" w:ascii="宋体" w:hAnsi="宋体" w:eastAsia="宋体" w:cs="宋体"/>
                <w:color w:val="000000"/>
                <w:kern w:val="0"/>
                <w:sz w:val="18"/>
                <w:szCs w:val="18"/>
                <w:lang w:bidi="ar"/>
              </w:rPr>
              <w:t>6</w:t>
            </w:r>
          </w:p>
        </w:tc>
        <w:tc>
          <w:tcPr>
            <w:tcW w:w="770" w:type="pct"/>
            <w:tcBorders>
              <w:top w:val="nil"/>
              <w:left w:val="nil"/>
              <w:bottom w:val="single" w:color="auto" w:sz="4" w:space="0"/>
              <w:right w:val="single" w:color="auto" w:sz="4" w:space="0"/>
            </w:tcBorders>
            <w:vAlign w:val="center"/>
          </w:tcPr>
          <w:p w14:paraId="752A40B9">
            <w:pPr>
              <w:widowControl/>
              <w:jc w:val="center"/>
              <w:rPr>
                <w:rFonts w:ascii="宋体" w:hAnsi="宋体" w:eastAsia="宋体" w:cs="宋体"/>
                <w:color w:val="000000"/>
                <w:kern w:val="0"/>
                <w:sz w:val="22"/>
                <w:szCs w:val="22"/>
              </w:rPr>
            </w:pPr>
            <w:r>
              <w:rPr>
                <w:rFonts w:hint="eastAsia" w:ascii="宋体" w:hAnsi="宋体" w:eastAsia="宋体" w:cs="宋体"/>
              </w:rPr>
              <w:t>核心业务系统运行保障</w:t>
            </w:r>
          </w:p>
        </w:tc>
        <w:tc>
          <w:tcPr>
            <w:tcW w:w="3204" w:type="pct"/>
            <w:tcBorders>
              <w:top w:val="nil"/>
              <w:left w:val="nil"/>
              <w:bottom w:val="single" w:color="auto" w:sz="4" w:space="0"/>
              <w:right w:val="single" w:color="auto" w:sz="4" w:space="0"/>
            </w:tcBorders>
            <w:vAlign w:val="center"/>
          </w:tcPr>
          <w:p w14:paraId="710202B3">
            <w:pPr>
              <w:widowControl/>
              <w:rPr>
                <w:rFonts w:ascii="宋体" w:hAnsi="宋体" w:eastAsia="宋体" w:cs="宋体"/>
                <w:color w:val="000000"/>
                <w:kern w:val="0"/>
                <w:sz w:val="22"/>
                <w:szCs w:val="22"/>
              </w:rPr>
            </w:pPr>
            <w:r>
              <w:rPr>
                <w:rFonts w:hint="eastAsia" w:ascii="宋体" w:hAnsi="宋体" w:eastAsia="宋体" w:cs="宋体"/>
              </w:rPr>
              <w:t>针对省居民健康卡应用管理系统、省互联网医疗服务监管平台等省级全民健康核心业务系统，制定7×24小时专属网络保障方案，明确杜绝网络故障导致业务中断、数据传输失败的保障措施，贴合业务场景，得3-4分；具备通用业务保障方案，未针对性适配核心系统，得1-2分；无专项业务系统网络保障措施，得0分。</w:t>
            </w:r>
          </w:p>
        </w:tc>
        <w:tc>
          <w:tcPr>
            <w:tcW w:w="642" w:type="pct"/>
            <w:tcBorders>
              <w:top w:val="nil"/>
              <w:left w:val="nil"/>
              <w:bottom w:val="single" w:color="auto" w:sz="4" w:space="0"/>
              <w:right w:val="single" w:color="auto" w:sz="4" w:space="0"/>
            </w:tcBorders>
            <w:noWrap/>
            <w:vAlign w:val="center"/>
          </w:tcPr>
          <w:p w14:paraId="752E72DA">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r>
      <w:tr w14:paraId="6644A6E9">
        <w:tblPrEx>
          <w:tblCellMar>
            <w:top w:w="0" w:type="dxa"/>
            <w:left w:w="108" w:type="dxa"/>
            <w:bottom w:w="0" w:type="dxa"/>
            <w:right w:w="108" w:type="dxa"/>
          </w:tblCellMar>
        </w:tblPrEx>
        <w:trPr>
          <w:trHeight w:val="1080" w:hRule="atLeast"/>
        </w:trPr>
        <w:tc>
          <w:tcPr>
            <w:tcW w:w="384" w:type="pct"/>
            <w:tcBorders>
              <w:top w:val="nil"/>
              <w:left w:val="single" w:color="auto" w:sz="4" w:space="0"/>
              <w:bottom w:val="single" w:color="auto" w:sz="4" w:space="0"/>
              <w:right w:val="single" w:color="auto" w:sz="4" w:space="0"/>
            </w:tcBorders>
            <w:noWrap/>
            <w:vAlign w:val="center"/>
          </w:tcPr>
          <w:p w14:paraId="1ADC45A2">
            <w:pPr>
              <w:widowControl/>
              <w:jc w:val="center"/>
              <w:rPr>
                <w:rFonts w:ascii="宋体" w:hAnsi="宋体" w:eastAsia="宋体" w:cs="宋体"/>
                <w:kern w:val="0"/>
                <w:sz w:val="22"/>
                <w:szCs w:val="22"/>
              </w:rPr>
            </w:pPr>
            <w:r>
              <w:rPr>
                <w:rFonts w:hint="eastAsia" w:ascii="宋体" w:hAnsi="宋体" w:eastAsia="宋体" w:cs="宋体"/>
                <w:color w:val="000000"/>
                <w:sz w:val="18"/>
                <w:szCs w:val="18"/>
              </w:rPr>
              <w:t>7</w:t>
            </w:r>
          </w:p>
        </w:tc>
        <w:tc>
          <w:tcPr>
            <w:tcW w:w="770" w:type="pct"/>
            <w:tcBorders>
              <w:top w:val="nil"/>
              <w:left w:val="nil"/>
              <w:bottom w:val="single" w:color="auto" w:sz="4" w:space="0"/>
              <w:right w:val="single" w:color="auto" w:sz="4" w:space="0"/>
            </w:tcBorders>
            <w:vAlign w:val="center"/>
          </w:tcPr>
          <w:p w14:paraId="0F681825">
            <w:pPr>
              <w:widowControl/>
              <w:jc w:val="center"/>
              <w:rPr>
                <w:rFonts w:ascii="宋体" w:hAnsi="宋体" w:eastAsia="宋体" w:cs="宋体"/>
                <w:color w:val="000000"/>
                <w:kern w:val="0"/>
                <w:sz w:val="22"/>
                <w:szCs w:val="22"/>
              </w:rPr>
            </w:pPr>
            <w:r>
              <w:rPr>
                <w:rFonts w:hint="eastAsia" w:ascii="宋体" w:hAnsi="宋体" w:eastAsia="宋体" w:cs="宋体"/>
              </w:rPr>
              <w:t>医疗机构对接全流程技术支撑</w:t>
            </w:r>
          </w:p>
        </w:tc>
        <w:tc>
          <w:tcPr>
            <w:tcW w:w="3204" w:type="pct"/>
            <w:tcBorders>
              <w:top w:val="nil"/>
              <w:left w:val="nil"/>
              <w:bottom w:val="single" w:color="auto" w:sz="4" w:space="0"/>
              <w:right w:val="single" w:color="auto" w:sz="4" w:space="0"/>
            </w:tcBorders>
            <w:vAlign w:val="center"/>
          </w:tcPr>
          <w:p w14:paraId="2772F113">
            <w:pPr>
              <w:widowControl/>
              <w:rPr>
                <w:rFonts w:ascii="宋体" w:hAnsi="宋体" w:eastAsia="宋体" w:cs="宋体"/>
                <w:color w:val="000000"/>
                <w:kern w:val="0"/>
                <w:sz w:val="22"/>
                <w:szCs w:val="22"/>
              </w:rPr>
            </w:pPr>
            <w:r>
              <w:rPr>
                <w:rFonts w:hint="eastAsia" w:ascii="宋体" w:hAnsi="宋体" w:eastAsia="宋体" w:cs="宋体"/>
              </w:rPr>
              <w:t>细化医疗机构对接全过程服务，包含IP规划分配、二层/三层配置调试、专线联通测试、跨区域故障处理、一对一技术指导等全流程内容，可保障业务数据正常上传、平台交互稳定，流程完整落地，得3-4分；仅包含基础对接调试，无全流程技术指导与故障处置细则，得1-2分；医疗机构对接保障内容缺失，得0分。</w:t>
            </w:r>
          </w:p>
        </w:tc>
        <w:tc>
          <w:tcPr>
            <w:tcW w:w="642" w:type="pct"/>
            <w:tcBorders>
              <w:top w:val="nil"/>
              <w:left w:val="nil"/>
              <w:bottom w:val="single" w:color="auto" w:sz="4" w:space="0"/>
              <w:right w:val="single" w:color="auto" w:sz="4" w:space="0"/>
            </w:tcBorders>
            <w:noWrap/>
            <w:vAlign w:val="center"/>
          </w:tcPr>
          <w:p w14:paraId="7F973120">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r>
      <w:tr w14:paraId="4A70E117">
        <w:tblPrEx>
          <w:tblCellMar>
            <w:top w:w="0" w:type="dxa"/>
            <w:left w:w="108" w:type="dxa"/>
            <w:bottom w:w="0" w:type="dxa"/>
            <w:right w:w="108" w:type="dxa"/>
          </w:tblCellMar>
        </w:tblPrEx>
        <w:trPr>
          <w:trHeight w:val="1080" w:hRule="atLeast"/>
        </w:trPr>
        <w:tc>
          <w:tcPr>
            <w:tcW w:w="384" w:type="pct"/>
            <w:tcBorders>
              <w:top w:val="nil"/>
              <w:left w:val="single" w:color="auto" w:sz="4" w:space="0"/>
              <w:bottom w:val="single" w:color="auto" w:sz="4" w:space="0"/>
              <w:right w:val="single" w:color="auto" w:sz="4" w:space="0"/>
            </w:tcBorders>
            <w:noWrap/>
            <w:vAlign w:val="center"/>
          </w:tcPr>
          <w:p w14:paraId="4A94B1EF">
            <w:pPr>
              <w:widowControl/>
              <w:jc w:val="center"/>
              <w:rPr>
                <w:rFonts w:ascii="宋体" w:hAnsi="宋体" w:eastAsia="宋体" w:cs="宋体"/>
                <w:kern w:val="0"/>
                <w:sz w:val="22"/>
                <w:szCs w:val="22"/>
              </w:rPr>
            </w:pPr>
            <w:r>
              <w:rPr>
                <w:rFonts w:hint="eastAsia" w:ascii="宋体" w:hAnsi="宋体" w:eastAsia="宋体" w:cs="宋体"/>
                <w:color w:val="000000"/>
                <w:sz w:val="18"/>
                <w:szCs w:val="18"/>
              </w:rPr>
              <w:t>8</w:t>
            </w:r>
          </w:p>
        </w:tc>
        <w:tc>
          <w:tcPr>
            <w:tcW w:w="770" w:type="pct"/>
            <w:tcBorders>
              <w:top w:val="nil"/>
              <w:left w:val="nil"/>
              <w:bottom w:val="single" w:color="auto" w:sz="4" w:space="0"/>
              <w:right w:val="single" w:color="auto" w:sz="4" w:space="0"/>
            </w:tcBorders>
            <w:vAlign w:val="center"/>
          </w:tcPr>
          <w:p w14:paraId="457AF172">
            <w:pPr>
              <w:widowControl/>
              <w:jc w:val="center"/>
              <w:rPr>
                <w:rFonts w:ascii="宋体" w:hAnsi="宋体" w:eastAsia="宋体" w:cs="宋体"/>
                <w:color w:val="000000"/>
                <w:kern w:val="0"/>
                <w:sz w:val="22"/>
                <w:szCs w:val="22"/>
              </w:rPr>
            </w:pPr>
            <w:r>
              <w:rPr>
                <w:rFonts w:hint="eastAsia" w:ascii="宋体" w:hAnsi="宋体" w:eastAsia="宋体" w:cs="宋体"/>
              </w:rPr>
              <w:t>第三方接入节点运维管控</w:t>
            </w:r>
          </w:p>
        </w:tc>
        <w:tc>
          <w:tcPr>
            <w:tcW w:w="3204" w:type="pct"/>
            <w:tcBorders>
              <w:top w:val="nil"/>
              <w:left w:val="nil"/>
              <w:bottom w:val="single" w:color="auto" w:sz="4" w:space="0"/>
              <w:right w:val="single" w:color="auto" w:sz="4" w:space="0"/>
            </w:tcBorders>
            <w:vAlign w:val="center"/>
          </w:tcPr>
          <w:p w14:paraId="188D712B">
            <w:pPr>
              <w:widowControl/>
              <w:rPr>
                <w:rFonts w:ascii="宋体" w:hAnsi="宋体" w:eastAsia="宋体" w:cs="宋体"/>
                <w:color w:val="000000"/>
                <w:kern w:val="0"/>
                <w:sz w:val="22"/>
                <w:szCs w:val="22"/>
              </w:rPr>
            </w:pPr>
            <w:r>
              <w:rPr>
                <w:rFonts w:hint="eastAsia" w:ascii="宋体" w:hAnsi="宋体" w:eastAsia="宋体" w:cs="宋体"/>
              </w:rPr>
              <w:t>针对委机关外网接入点、平台运维前置机、第三方厂商对接链路，制定专属网络调试、故障抢修、权限管控机制，权责清晰、管控全面，得3-4分；具备基础接入运维内容，管控措施简略、无专项处置流程，得1-2分；无第三方接入节点运维保障方案，得0分。</w:t>
            </w:r>
          </w:p>
        </w:tc>
        <w:tc>
          <w:tcPr>
            <w:tcW w:w="642" w:type="pct"/>
            <w:tcBorders>
              <w:top w:val="nil"/>
              <w:left w:val="nil"/>
              <w:bottom w:val="single" w:color="auto" w:sz="4" w:space="0"/>
              <w:right w:val="single" w:color="auto" w:sz="4" w:space="0"/>
            </w:tcBorders>
            <w:noWrap/>
            <w:vAlign w:val="center"/>
          </w:tcPr>
          <w:p w14:paraId="053B2E6E">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r>
      <w:tr w14:paraId="2B53751F">
        <w:tblPrEx>
          <w:tblCellMar>
            <w:top w:w="0" w:type="dxa"/>
            <w:left w:w="108" w:type="dxa"/>
            <w:bottom w:w="0" w:type="dxa"/>
            <w:right w:w="108" w:type="dxa"/>
          </w:tblCellMar>
        </w:tblPrEx>
        <w:trPr>
          <w:trHeight w:val="1080" w:hRule="atLeast"/>
        </w:trPr>
        <w:tc>
          <w:tcPr>
            <w:tcW w:w="384" w:type="pct"/>
            <w:tcBorders>
              <w:top w:val="nil"/>
              <w:left w:val="single" w:color="auto" w:sz="4" w:space="0"/>
              <w:bottom w:val="single" w:color="auto" w:sz="4" w:space="0"/>
              <w:right w:val="single" w:color="auto" w:sz="4" w:space="0"/>
            </w:tcBorders>
            <w:noWrap/>
            <w:vAlign w:val="center"/>
          </w:tcPr>
          <w:p w14:paraId="677812DC">
            <w:pPr>
              <w:widowControl/>
              <w:jc w:val="center"/>
              <w:rPr>
                <w:rFonts w:ascii="宋体" w:hAnsi="宋体" w:eastAsia="宋体" w:cs="宋体"/>
                <w:kern w:val="0"/>
                <w:sz w:val="22"/>
                <w:szCs w:val="22"/>
              </w:rPr>
            </w:pPr>
            <w:r>
              <w:rPr>
                <w:rFonts w:hint="eastAsia" w:ascii="宋体" w:hAnsi="宋体" w:eastAsia="宋体" w:cs="宋体"/>
                <w:color w:val="000000"/>
                <w:sz w:val="18"/>
                <w:szCs w:val="18"/>
              </w:rPr>
              <w:t>9</w:t>
            </w:r>
          </w:p>
        </w:tc>
        <w:tc>
          <w:tcPr>
            <w:tcW w:w="770" w:type="pct"/>
            <w:tcBorders>
              <w:top w:val="nil"/>
              <w:left w:val="nil"/>
              <w:bottom w:val="single" w:color="auto" w:sz="4" w:space="0"/>
              <w:right w:val="single" w:color="auto" w:sz="4" w:space="0"/>
            </w:tcBorders>
            <w:vAlign w:val="center"/>
          </w:tcPr>
          <w:p w14:paraId="04786428">
            <w:pPr>
              <w:widowControl/>
              <w:jc w:val="center"/>
              <w:rPr>
                <w:rFonts w:ascii="宋体" w:hAnsi="宋体" w:eastAsia="宋体" w:cs="宋体"/>
                <w:color w:val="000000"/>
                <w:kern w:val="0"/>
                <w:sz w:val="22"/>
                <w:szCs w:val="22"/>
              </w:rPr>
            </w:pPr>
            <w:r>
              <w:rPr>
                <w:rFonts w:hint="eastAsia" w:ascii="宋体" w:hAnsi="宋体" w:eastAsia="宋体" w:cs="宋体"/>
              </w:rPr>
              <w:t>本省平台链路业务适配能力</w:t>
            </w:r>
          </w:p>
        </w:tc>
        <w:tc>
          <w:tcPr>
            <w:tcW w:w="3204" w:type="pct"/>
            <w:tcBorders>
              <w:top w:val="nil"/>
              <w:left w:val="nil"/>
              <w:bottom w:val="single" w:color="auto" w:sz="4" w:space="0"/>
              <w:right w:val="single" w:color="auto" w:sz="4" w:space="0"/>
            </w:tcBorders>
            <w:vAlign w:val="center"/>
          </w:tcPr>
          <w:p w14:paraId="19A70B08">
            <w:pPr>
              <w:widowControl/>
              <w:rPr>
                <w:rFonts w:ascii="宋体" w:hAnsi="宋体" w:eastAsia="宋体" w:cs="宋体"/>
                <w:color w:val="000000"/>
                <w:kern w:val="0"/>
                <w:sz w:val="22"/>
                <w:szCs w:val="22"/>
              </w:rPr>
            </w:pPr>
            <w:r>
              <w:rPr>
                <w:rFonts w:hint="eastAsia" w:ascii="宋体" w:hAnsi="宋体" w:eastAsia="宋体" w:cs="宋体"/>
              </w:rPr>
              <w:t>供应商充分熟悉吉林省全民健康平台架构、吉林祥云政务云专线、省级专网整体规划，方案完全贴合本省组网架构及业务规划，适配性极强，得3-4分；基本了解平台架构，方案适配性一般，无本地化细化内容，得1-2分；未结合本省平台及祥云链路特点，完全通用化，得0分。</w:t>
            </w:r>
          </w:p>
        </w:tc>
        <w:tc>
          <w:tcPr>
            <w:tcW w:w="642" w:type="pct"/>
            <w:tcBorders>
              <w:top w:val="nil"/>
              <w:left w:val="nil"/>
              <w:bottom w:val="single" w:color="auto" w:sz="4" w:space="0"/>
              <w:right w:val="single" w:color="auto" w:sz="4" w:space="0"/>
            </w:tcBorders>
            <w:noWrap/>
            <w:vAlign w:val="center"/>
          </w:tcPr>
          <w:p w14:paraId="385EE3BC">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r>
      <w:tr w14:paraId="779B6B49">
        <w:tblPrEx>
          <w:tblCellMar>
            <w:top w:w="0" w:type="dxa"/>
            <w:left w:w="108" w:type="dxa"/>
            <w:bottom w:w="0" w:type="dxa"/>
            <w:right w:w="108" w:type="dxa"/>
          </w:tblCellMar>
        </w:tblPrEx>
        <w:trPr>
          <w:trHeight w:val="1080" w:hRule="atLeast"/>
        </w:trPr>
        <w:tc>
          <w:tcPr>
            <w:tcW w:w="384" w:type="pct"/>
            <w:tcBorders>
              <w:top w:val="nil"/>
              <w:left w:val="single" w:color="auto" w:sz="4" w:space="0"/>
              <w:bottom w:val="single" w:color="auto" w:sz="4" w:space="0"/>
              <w:right w:val="single" w:color="auto" w:sz="4" w:space="0"/>
            </w:tcBorders>
            <w:noWrap/>
            <w:vAlign w:val="center"/>
          </w:tcPr>
          <w:p w14:paraId="3BC0E73A">
            <w:pPr>
              <w:widowControl/>
              <w:jc w:val="center"/>
              <w:rPr>
                <w:rFonts w:ascii="宋体" w:hAnsi="宋体" w:eastAsia="宋体" w:cs="宋体"/>
                <w:kern w:val="0"/>
                <w:sz w:val="22"/>
                <w:szCs w:val="22"/>
              </w:rPr>
            </w:pPr>
            <w:r>
              <w:rPr>
                <w:rFonts w:hint="eastAsia" w:ascii="宋体" w:hAnsi="宋体" w:eastAsia="宋体" w:cs="宋体"/>
                <w:color w:val="000000"/>
                <w:sz w:val="18"/>
                <w:szCs w:val="18"/>
              </w:rPr>
              <w:t>10</w:t>
            </w:r>
          </w:p>
        </w:tc>
        <w:tc>
          <w:tcPr>
            <w:tcW w:w="770" w:type="pct"/>
            <w:tcBorders>
              <w:top w:val="nil"/>
              <w:left w:val="nil"/>
              <w:bottom w:val="single" w:color="auto" w:sz="4" w:space="0"/>
              <w:right w:val="single" w:color="auto" w:sz="4" w:space="0"/>
            </w:tcBorders>
            <w:vAlign w:val="center"/>
          </w:tcPr>
          <w:p w14:paraId="7273620D">
            <w:pPr>
              <w:widowControl/>
              <w:jc w:val="center"/>
              <w:rPr>
                <w:rFonts w:ascii="宋体" w:hAnsi="宋体" w:eastAsia="宋体" w:cs="宋体"/>
                <w:color w:val="000000"/>
                <w:kern w:val="0"/>
                <w:sz w:val="22"/>
                <w:szCs w:val="22"/>
              </w:rPr>
            </w:pPr>
            <w:r>
              <w:rPr>
                <w:rFonts w:hint="eastAsia" w:ascii="宋体" w:hAnsi="宋体" w:eastAsia="宋体" w:cs="宋体"/>
              </w:rPr>
              <w:t>医疗机构专线接入全流程服务</w:t>
            </w:r>
          </w:p>
        </w:tc>
        <w:tc>
          <w:tcPr>
            <w:tcW w:w="3204" w:type="pct"/>
            <w:tcBorders>
              <w:top w:val="nil"/>
              <w:left w:val="nil"/>
              <w:bottom w:val="single" w:color="auto" w:sz="4" w:space="0"/>
              <w:right w:val="single" w:color="auto" w:sz="4" w:space="0"/>
            </w:tcBorders>
            <w:vAlign w:val="center"/>
          </w:tcPr>
          <w:p w14:paraId="4F857F96">
            <w:pPr>
              <w:widowControl/>
              <w:rPr>
                <w:rFonts w:ascii="宋体" w:hAnsi="宋体" w:eastAsia="宋体" w:cs="宋体"/>
                <w:color w:val="000000"/>
                <w:kern w:val="0"/>
                <w:sz w:val="22"/>
                <w:szCs w:val="22"/>
              </w:rPr>
            </w:pPr>
            <w:r>
              <w:rPr>
                <w:rFonts w:hint="eastAsia" w:ascii="宋体" w:hAnsi="宋体" w:eastAsia="宋体" w:cs="宋体"/>
              </w:rPr>
              <w:t>明确专网IP申请、地址分配、祥云专线开通调试、跨运营商链路对接全流程标准化作业机制，流程清晰、分工明确、可落地性强，得3-4分；仅包含部分接入流程，作业标准不完整，得1-2分；无专线接入标准化流程，得0分。</w:t>
            </w:r>
          </w:p>
        </w:tc>
        <w:tc>
          <w:tcPr>
            <w:tcW w:w="642" w:type="pct"/>
            <w:tcBorders>
              <w:top w:val="nil"/>
              <w:left w:val="nil"/>
              <w:bottom w:val="single" w:color="auto" w:sz="4" w:space="0"/>
              <w:right w:val="single" w:color="auto" w:sz="4" w:space="0"/>
            </w:tcBorders>
            <w:noWrap/>
            <w:vAlign w:val="center"/>
          </w:tcPr>
          <w:p w14:paraId="4F7C88DD">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r>
      <w:tr w14:paraId="4F6273A2">
        <w:tblPrEx>
          <w:tblCellMar>
            <w:top w:w="0" w:type="dxa"/>
            <w:left w:w="108" w:type="dxa"/>
            <w:bottom w:w="0" w:type="dxa"/>
            <w:right w:w="108" w:type="dxa"/>
          </w:tblCellMar>
        </w:tblPrEx>
        <w:trPr>
          <w:trHeight w:val="1080" w:hRule="atLeast"/>
        </w:trPr>
        <w:tc>
          <w:tcPr>
            <w:tcW w:w="384" w:type="pct"/>
            <w:tcBorders>
              <w:top w:val="nil"/>
              <w:left w:val="single" w:color="auto" w:sz="4" w:space="0"/>
              <w:bottom w:val="single" w:color="auto" w:sz="4" w:space="0"/>
              <w:right w:val="single" w:color="auto" w:sz="4" w:space="0"/>
            </w:tcBorders>
            <w:noWrap/>
            <w:vAlign w:val="center"/>
          </w:tcPr>
          <w:p w14:paraId="206FCA08">
            <w:pPr>
              <w:widowControl/>
              <w:jc w:val="center"/>
              <w:rPr>
                <w:rFonts w:ascii="宋体" w:hAnsi="宋体" w:eastAsia="宋体" w:cs="宋体"/>
                <w:kern w:val="0"/>
                <w:sz w:val="22"/>
                <w:szCs w:val="22"/>
              </w:rPr>
            </w:pPr>
            <w:r>
              <w:rPr>
                <w:rFonts w:hint="eastAsia" w:ascii="宋体" w:hAnsi="宋体" w:eastAsia="宋体" w:cs="宋体"/>
                <w:color w:val="000000"/>
                <w:sz w:val="18"/>
                <w:szCs w:val="18"/>
              </w:rPr>
              <w:t>11</w:t>
            </w:r>
          </w:p>
        </w:tc>
        <w:tc>
          <w:tcPr>
            <w:tcW w:w="770" w:type="pct"/>
            <w:tcBorders>
              <w:top w:val="nil"/>
              <w:left w:val="nil"/>
              <w:bottom w:val="single" w:color="auto" w:sz="4" w:space="0"/>
              <w:right w:val="single" w:color="auto" w:sz="4" w:space="0"/>
            </w:tcBorders>
            <w:vAlign w:val="center"/>
          </w:tcPr>
          <w:p w14:paraId="7BA647C7">
            <w:pPr>
              <w:widowControl/>
              <w:jc w:val="center"/>
              <w:rPr>
                <w:rFonts w:ascii="宋体" w:hAnsi="宋体" w:eastAsia="宋体" w:cs="宋体"/>
                <w:color w:val="000000"/>
                <w:kern w:val="0"/>
                <w:sz w:val="22"/>
                <w:szCs w:val="22"/>
              </w:rPr>
            </w:pPr>
            <w:r>
              <w:rPr>
                <w:rFonts w:hint="eastAsia" w:ascii="宋体" w:hAnsi="宋体" w:eastAsia="宋体" w:cs="宋体"/>
              </w:rPr>
              <w:t>分级故障处置时效保障</w:t>
            </w:r>
          </w:p>
        </w:tc>
        <w:tc>
          <w:tcPr>
            <w:tcW w:w="3204" w:type="pct"/>
            <w:tcBorders>
              <w:top w:val="nil"/>
              <w:left w:val="nil"/>
              <w:bottom w:val="single" w:color="auto" w:sz="4" w:space="0"/>
              <w:right w:val="single" w:color="auto" w:sz="4" w:space="0"/>
            </w:tcBorders>
            <w:vAlign w:val="center"/>
          </w:tcPr>
          <w:p w14:paraId="351CAA4F">
            <w:pPr>
              <w:widowControl/>
              <w:rPr>
                <w:rFonts w:ascii="宋体" w:hAnsi="宋体" w:eastAsia="宋体" w:cs="宋体"/>
                <w:color w:val="000000"/>
                <w:kern w:val="0"/>
                <w:sz w:val="22"/>
                <w:szCs w:val="22"/>
              </w:rPr>
            </w:pPr>
            <w:r>
              <w:rPr>
                <w:rFonts w:hint="eastAsia" w:ascii="宋体" w:hAnsi="宋体" w:eastAsia="宋体" w:cs="宋体"/>
              </w:rPr>
              <w:t>针对专线不通、路由异常、云平台访问失败、数据上传中断等故障，明确远程即时排查、疑难故障4小时内现场处置的分级响应机制，时效标准量化清晰，得3-4分；具备故障处置流程，但无明确到场时效、分级处置规则，得1-2分；无专项故障处置时效保障机制，得0分。</w:t>
            </w:r>
          </w:p>
        </w:tc>
        <w:tc>
          <w:tcPr>
            <w:tcW w:w="642" w:type="pct"/>
            <w:tcBorders>
              <w:top w:val="nil"/>
              <w:left w:val="nil"/>
              <w:bottom w:val="single" w:color="auto" w:sz="4" w:space="0"/>
              <w:right w:val="single" w:color="auto" w:sz="4" w:space="0"/>
            </w:tcBorders>
            <w:noWrap/>
            <w:vAlign w:val="center"/>
          </w:tcPr>
          <w:p w14:paraId="27BE6CD8">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r>
      <w:tr w14:paraId="3A054BFC">
        <w:tblPrEx>
          <w:tblCellMar>
            <w:top w:w="0" w:type="dxa"/>
            <w:left w:w="108" w:type="dxa"/>
            <w:bottom w:w="0" w:type="dxa"/>
            <w:right w:w="108" w:type="dxa"/>
          </w:tblCellMar>
        </w:tblPrEx>
        <w:trPr>
          <w:trHeight w:val="1080" w:hRule="atLeast"/>
        </w:trPr>
        <w:tc>
          <w:tcPr>
            <w:tcW w:w="384" w:type="pct"/>
            <w:tcBorders>
              <w:top w:val="nil"/>
              <w:left w:val="single" w:color="auto" w:sz="4" w:space="0"/>
              <w:bottom w:val="single" w:color="auto" w:sz="4" w:space="0"/>
              <w:right w:val="single" w:color="auto" w:sz="4" w:space="0"/>
            </w:tcBorders>
            <w:noWrap/>
            <w:vAlign w:val="center"/>
          </w:tcPr>
          <w:p w14:paraId="0EFAED8A">
            <w:pPr>
              <w:widowControl/>
              <w:jc w:val="center"/>
              <w:rPr>
                <w:rFonts w:ascii="宋体" w:hAnsi="宋体" w:eastAsia="宋体" w:cs="宋体"/>
                <w:kern w:val="0"/>
                <w:sz w:val="22"/>
                <w:szCs w:val="22"/>
              </w:rPr>
            </w:pPr>
            <w:r>
              <w:rPr>
                <w:rFonts w:hint="eastAsia" w:ascii="宋体" w:hAnsi="宋体" w:eastAsia="宋体" w:cs="宋体"/>
                <w:color w:val="000000"/>
                <w:sz w:val="18"/>
                <w:szCs w:val="18"/>
              </w:rPr>
              <w:t>12</w:t>
            </w:r>
          </w:p>
        </w:tc>
        <w:tc>
          <w:tcPr>
            <w:tcW w:w="770" w:type="pct"/>
            <w:tcBorders>
              <w:top w:val="nil"/>
              <w:left w:val="nil"/>
              <w:bottom w:val="single" w:color="auto" w:sz="4" w:space="0"/>
              <w:right w:val="single" w:color="auto" w:sz="4" w:space="0"/>
            </w:tcBorders>
            <w:vAlign w:val="center"/>
          </w:tcPr>
          <w:p w14:paraId="4B7778E3">
            <w:pPr>
              <w:widowControl/>
              <w:jc w:val="center"/>
              <w:rPr>
                <w:rFonts w:ascii="宋体" w:hAnsi="宋体" w:eastAsia="宋体" w:cs="宋体"/>
                <w:color w:val="000000"/>
                <w:kern w:val="0"/>
                <w:sz w:val="22"/>
                <w:szCs w:val="22"/>
              </w:rPr>
            </w:pPr>
            <w:r>
              <w:rPr>
                <w:rFonts w:hint="eastAsia" w:ascii="宋体" w:hAnsi="宋体" w:eastAsia="宋体" w:cs="宋体"/>
              </w:rPr>
              <w:t>接入档案与长效运行保障</w:t>
            </w:r>
          </w:p>
        </w:tc>
        <w:tc>
          <w:tcPr>
            <w:tcW w:w="3204" w:type="pct"/>
            <w:tcBorders>
              <w:top w:val="nil"/>
              <w:left w:val="nil"/>
              <w:bottom w:val="single" w:color="auto" w:sz="4" w:space="0"/>
              <w:right w:val="single" w:color="auto" w:sz="4" w:space="0"/>
            </w:tcBorders>
            <w:vAlign w:val="center"/>
          </w:tcPr>
          <w:p w14:paraId="41656752">
            <w:pPr>
              <w:widowControl/>
              <w:rPr>
                <w:rFonts w:ascii="宋体" w:hAnsi="宋体" w:eastAsia="宋体" w:cs="宋体"/>
                <w:color w:val="000000"/>
                <w:kern w:val="0"/>
                <w:sz w:val="22"/>
                <w:szCs w:val="22"/>
              </w:rPr>
            </w:pPr>
            <w:r>
              <w:rPr>
                <w:rFonts w:hint="eastAsia" w:ascii="宋体" w:hAnsi="宋体" w:eastAsia="宋体" w:cs="宋体"/>
              </w:rPr>
              <w:t>建立全省医疗机构接入专属技术档案动态管理制度，全程留存对接、调试、故障处置记录，落实常态化技术指导，保障链路7×24不间断稳定运行，得3-4分；具备基础档案留存意识，但无动态更新、长效管控机制，得1-2分；无接入档案管理及长效保障措施，得0分。</w:t>
            </w:r>
          </w:p>
        </w:tc>
        <w:tc>
          <w:tcPr>
            <w:tcW w:w="642" w:type="pct"/>
            <w:tcBorders>
              <w:top w:val="nil"/>
              <w:left w:val="nil"/>
              <w:bottom w:val="single" w:color="auto" w:sz="4" w:space="0"/>
              <w:right w:val="single" w:color="auto" w:sz="4" w:space="0"/>
            </w:tcBorders>
            <w:noWrap/>
            <w:vAlign w:val="center"/>
          </w:tcPr>
          <w:p w14:paraId="6A3979DF">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r>
      <w:tr w14:paraId="75CC4512">
        <w:tblPrEx>
          <w:tblCellMar>
            <w:top w:w="0" w:type="dxa"/>
            <w:left w:w="108" w:type="dxa"/>
            <w:bottom w:w="0" w:type="dxa"/>
            <w:right w:w="108" w:type="dxa"/>
          </w:tblCellMar>
        </w:tblPrEx>
        <w:trPr>
          <w:trHeight w:val="1080" w:hRule="atLeast"/>
        </w:trPr>
        <w:tc>
          <w:tcPr>
            <w:tcW w:w="384" w:type="pct"/>
            <w:tcBorders>
              <w:top w:val="nil"/>
              <w:left w:val="single" w:color="auto" w:sz="4" w:space="0"/>
              <w:bottom w:val="single" w:color="auto" w:sz="4" w:space="0"/>
              <w:right w:val="single" w:color="auto" w:sz="4" w:space="0"/>
            </w:tcBorders>
            <w:noWrap/>
            <w:vAlign w:val="center"/>
          </w:tcPr>
          <w:p w14:paraId="7840D291">
            <w:pPr>
              <w:widowControl/>
              <w:jc w:val="center"/>
              <w:rPr>
                <w:rFonts w:ascii="宋体" w:hAnsi="宋体" w:eastAsia="宋体" w:cs="宋体"/>
                <w:kern w:val="0"/>
                <w:sz w:val="22"/>
                <w:szCs w:val="22"/>
              </w:rPr>
            </w:pPr>
            <w:r>
              <w:rPr>
                <w:rFonts w:hint="eastAsia" w:ascii="宋体" w:hAnsi="宋体" w:eastAsia="宋体" w:cs="宋体"/>
                <w:color w:val="000000"/>
                <w:sz w:val="18"/>
                <w:szCs w:val="18"/>
              </w:rPr>
              <w:t>13</w:t>
            </w:r>
          </w:p>
        </w:tc>
        <w:tc>
          <w:tcPr>
            <w:tcW w:w="770" w:type="pct"/>
            <w:tcBorders>
              <w:top w:val="nil"/>
              <w:left w:val="nil"/>
              <w:bottom w:val="single" w:color="auto" w:sz="4" w:space="0"/>
              <w:right w:val="single" w:color="auto" w:sz="4" w:space="0"/>
            </w:tcBorders>
            <w:vAlign w:val="center"/>
          </w:tcPr>
          <w:p w14:paraId="69DB0493">
            <w:pPr>
              <w:widowControl/>
              <w:jc w:val="center"/>
              <w:rPr>
                <w:rFonts w:ascii="宋体" w:hAnsi="宋体" w:eastAsia="宋体" w:cs="宋体"/>
                <w:color w:val="000000"/>
                <w:kern w:val="0"/>
                <w:sz w:val="22"/>
                <w:szCs w:val="22"/>
              </w:rPr>
            </w:pPr>
            <w:r>
              <w:rPr>
                <w:rFonts w:hint="eastAsia" w:ascii="宋体" w:hAnsi="宋体" w:eastAsia="宋体" w:cs="宋体"/>
              </w:rPr>
              <w:t>办公网络与终端设备运维</w:t>
            </w:r>
          </w:p>
        </w:tc>
        <w:tc>
          <w:tcPr>
            <w:tcW w:w="3204" w:type="pct"/>
            <w:tcBorders>
              <w:top w:val="nil"/>
              <w:left w:val="nil"/>
              <w:bottom w:val="single" w:color="auto" w:sz="4" w:space="0"/>
              <w:right w:val="single" w:color="auto" w:sz="4" w:space="0"/>
            </w:tcBorders>
            <w:vAlign w:val="center"/>
          </w:tcPr>
          <w:p w14:paraId="124B7E01">
            <w:pPr>
              <w:widowControl/>
              <w:rPr>
                <w:rFonts w:ascii="宋体" w:hAnsi="宋体" w:eastAsia="宋体" w:cs="宋体"/>
                <w:color w:val="000000"/>
                <w:kern w:val="0"/>
                <w:sz w:val="22"/>
                <w:szCs w:val="22"/>
              </w:rPr>
            </w:pPr>
            <w:r>
              <w:rPr>
                <w:rFonts w:hint="eastAsia" w:ascii="宋体" w:hAnsi="宋体" w:eastAsia="宋体" w:cs="宋体"/>
              </w:rPr>
              <w:t>完整覆盖内外网规划、VLAN划分、网络故障排查、带宽优化、办公电脑、打印机、固话、语音交换机运维及终端权限管控，运维内容全面、流程规范，得3-4分；覆盖基础办公运维内容，部分细分设备管控缺失，得1-2分；办公运维内容缺失严重、无标准化处置流程，得0分。</w:t>
            </w:r>
          </w:p>
        </w:tc>
        <w:tc>
          <w:tcPr>
            <w:tcW w:w="642" w:type="pct"/>
            <w:tcBorders>
              <w:top w:val="nil"/>
              <w:left w:val="nil"/>
              <w:bottom w:val="single" w:color="auto" w:sz="4" w:space="0"/>
              <w:right w:val="single" w:color="auto" w:sz="4" w:space="0"/>
            </w:tcBorders>
            <w:noWrap/>
            <w:vAlign w:val="center"/>
          </w:tcPr>
          <w:p w14:paraId="752DB6D7">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r>
      <w:tr w14:paraId="31A8EB3C">
        <w:tblPrEx>
          <w:tblCellMar>
            <w:top w:w="0" w:type="dxa"/>
            <w:left w:w="108" w:type="dxa"/>
            <w:bottom w:w="0" w:type="dxa"/>
            <w:right w:w="108" w:type="dxa"/>
          </w:tblCellMar>
        </w:tblPrEx>
        <w:trPr>
          <w:trHeight w:val="1080" w:hRule="atLeast"/>
        </w:trPr>
        <w:tc>
          <w:tcPr>
            <w:tcW w:w="384" w:type="pct"/>
            <w:tcBorders>
              <w:top w:val="nil"/>
              <w:left w:val="single" w:color="auto" w:sz="4" w:space="0"/>
              <w:bottom w:val="single" w:color="auto" w:sz="4" w:space="0"/>
              <w:right w:val="single" w:color="auto" w:sz="4" w:space="0"/>
            </w:tcBorders>
            <w:noWrap/>
            <w:vAlign w:val="center"/>
          </w:tcPr>
          <w:p w14:paraId="3882C431">
            <w:pPr>
              <w:widowControl/>
              <w:jc w:val="center"/>
              <w:rPr>
                <w:rFonts w:ascii="宋体" w:hAnsi="宋体" w:eastAsia="宋体" w:cs="宋体"/>
                <w:kern w:val="0"/>
                <w:sz w:val="22"/>
                <w:szCs w:val="22"/>
              </w:rPr>
            </w:pPr>
            <w:r>
              <w:rPr>
                <w:rFonts w:hint="eastAsia" w:ascii="宋体" w:hAnsi="宋体" w:eastAsia="宋体" w:cs="宋体"/>
                <w:color w:val="000000"/>
                <w:sz w:val="18"/>
                <w:szCs w:val="18"/>
              </w:rPr>
              <w:t>14</w:t>
            </w:r>
          </w:p>
        </w:tc>
        <w:tc>
          <w:tcPr>
            <w:tcW w:w="770" w:type="pct"/>
            <w:tcBorders>
              <w:top w:val="nil"/>
              <w:left w:val="nil"/>
              <w:bottom w:val="single" w:color="auto" w:sz="4" w:space="0"/>
              <w:right w:val="single" w:color="auto" w:sz="4" w:space="0"/>
            </w:tcBorders>
            <w:vAlign w:val="center"/>
          </w:tcPr>
          <w:p w14:paraId="0BAD60FF">
            <w:pPr>
              <w:widowControl/>
              <w:jc w:val="center"/>
              <w:rPr>
                <w:rFonts w:ascii="宋体" w:hAnsi="宋体" w:eastAsia="宋体" w:cs="宋体"/>
                <w:color w:val="000000"/>
                <w:kern w:val="0"/>
                <w:sz w:val="22"/>
                <w:szCs w:val="22"/>
              </w:rPr>
            </w:pPr>
            <w:r>
              <w:rPr>
                <w:rFonts w:hint="eastAsia" w:ascii="宋体" w:hAnsi="宋体" w:eastAsia="宋体" w:cs="宋体"/>
              </w:rPr>
              <w:t>会议全流程专项保障</w:t>
            </w:r>
          </w:p>
        </w:tc>
        <w:tc>
          <w:tcPr>
            <w:tcW w:w="3204" w:type="pct"/>
            <w:tcBorders>
              <w:top w:val="nil"/>
              <w:left w:val="nil"/>
              <w:bottom w:val="single" w:color="auto" w:sz="4" w:space="0"/>
              <w:right w:val="single" w:color="auto" w:sz="4" w:space="0"/>
            </w:tcBorders>
            <w:vAlign w:val="center"/>
          </w:tcPr>
          <w:p w14:paraId="156EDE45">
            <w:pPr>
              <w:widowControl/>
              <w:rPr>
                <w:rFonts w:ascii="宋体" w:hAnsi="宋体" w:eastAsia="宋体" w:cs="宋体"/>
                <w:color w:val="000000"/>
                <w:kern w:val="0"/>
                <w:sz w:val="22"/>
                <w:szCs w:val="22"/>
              </w:rPr>
            </w:pPr>
            <w:r>
              <w:rPr>
                <w:rFonts w:hint="eastAsia" w:ascii="宋体" w:hAnsi="宋体" w:eastAsia="宋体" w:cs="宋体"/>
              </w:rPr>
              <w:t>针对日常会议、线上业务培训会议，制定会前全链路测试、会中现场值守、实时故障处置的全流程保障机制，贴合单位会议运维需求，得3-4分；具备基础会议保障内容，流程简略、环节缺失，得1-2分；无会议专项保障方案，得0分。</w:t>
            </w:r>
          </w:p>
        </w:tc>
        <w:tc>
          <w:tcPr>
            <w:tcW w:w="642" w:type="pct"/>
            <w:tcBorders>
              <w:top w:val="nil"/>
              <w:left w:val="nil"/>
              <w:bottom w:val="single" w:color="auto" w:sz="4" w:space="0"/>
              <w:right w:val="single" w:color="auto" w:sz="4" w:space="0"/>
            </w:tcBorders>
            <w:noWrap/>
            <w:vAlign w:val="center"/>
          </w:tcPr>
          <w:p w14:paraId="5951C96B">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r>
      <w:tr w14:paraId="385C2C01">
        <w:tblPrEx>
          <w:tblCellMar>
            <w:top w:w="0" w:type="dxa"/>
            <w:left w:w="108" w:type="dxa"/>
            <w:bottom w:w="0" w:type="dxa"/>
            <w:right w:w="108" w:type="dxa"/>
          </w:tblCellMar>
        </w:tblPrEx>
        <w:trPr>
          <w:trHeight w:val="1080" w:hRule="atLeast"/>
        </w:trPr>
        <w:tc>
          <w:tcPr>
            <w:tcW w:w="384" w:type="pct"/>
            <w:tcBorders>
              <w:top w:val="nil"/>
              <w:left w:val="single" w:color="auto" w:sz="4" w:space="0"/>
              <w:bottom w:val="single" w:color="auto" w:sz="4" w:space="0"/>
              <w:right w:val="single" w:color="auto" w:sz="4" w:space="0"/>
            </w:tcBorders>
            <w:noWrap/>
            <w:vAlign w:val="center"/>
          </w:tcPr>
          <w:p w14:paraId="7D0A51F6">
            <w:pPr>
              <w:widowControl/>
              <w:jc w:val="center"/>
              <w:rPr>
                <w:rFonts w:ascii="宋体" w:hAnsi="宋体" w:eastAsia="宋体" w:cs="宋体"/>
                <w:kern w:val="0"/>
                <w:sz w:val="22"/>
                <w:szCs w:val="22"/>
              </w:rPr>
            </w:pPr>
            <w:r>
              <w:rPr>
                <w:rFonts w:hint="eastAsia" w:ascii="宋体" w:hAnsi="宋体" w:eastAsia="宋体" w:cs="宋体"/>
                <w:color w:val="000000"/>
                <w:sz w:val="18"/>
                <w:szCs w:val="18"/>
              </w:rPr>
              <w:t>15</w:t>
            </w:r>
          </w:p>
        </w:tc>
        <w:tc>
          <w:tcPr>
            <w:tcW w:w="770" w:type="pct"/>
            <w:tcBorders>
              <w:top w:val="nil"/>
              <w:left w:val="nil"/>
              <w:bottom w:val="single" w:color="auto" w:sz="4" w:space="0"/>
              <w:right w:val="single" w:color="auto" w:sz="4" w:space="0"/>
            </w:tcBorders>
            <w:vAlign w:val="center"/>
          </w:tcPr>
          <w:p w14:paraId="0FF75703">
            <w:pPr>
              <w:widowControl/>
              <w:jc w:val="center"/>
              <w:rPr>
                <w:rFonts w:ascii="宋体" w:hAnsi="宋体" w:eastAsia="宋体" w:cs="宋体"/>
                <w:color w:val="000000"/>
                <w:kern w:val="0"/>
                <w:sz w:val="22"/>
                <w:szCs w:val="22"/>
              </w:rPr>
            </w:pPr>
            <w:r>
              <w:rPr>
                <w:rFonts w:hint="eastAsia" w:ascii="宋体" w:hAnsi="宋体" w:eastAsia="宋体" w:cs="宋体"/>
              </w:rPr>
              <w:t>运维归档与复盘机制</w:t>
            </w:r>
          </w:p>
        </w:tc>
        <w:tc>
          <w:tcPr>
            <w:tcW w:w="3204" w:type="pct"/>
            <w:tcBorders>
              <w:top w:val="nil"/>
              <w:left w:val="nil"/>
              <w:bottom w:val="single" w:color="auto" w:sz="4" w:space="0"/>
              <w:right w:val="single" w:color="auto" w:sz="4" w:space="0"/>
            </w:tcBorders>
            <w:vAlign w:val="center"/>
          </w:tcPr>
          <w:p w14:paraId="1ED1BF52">
            <w:pPr>
              <w:widowControl/>
              <w:rPr>
                <w:rFonts w:ascii="宋体" w:hAnsi="宋体" w:eastAsia="宋体" w:cs="宋体"/>
                <w:color w:val="000000"/>
                <w:kern w:val="0"/>
                <w:sz w:val="22"/>
                <w:szCs w:val="22"/>
              </w:rPr>
            </w:pPr>
            <w:r>
              <w:rPr>
                <w:rFonts w:hint="eastAsia" w:ascii="宋体" w:hAnsi="宋体" w:eastAsia="宋体" w:cs="宋体"/>
              </w:rPr>
              <w:t>建立会议保障、办公故障处置标准化记录归档制度，具备问题复盘、优化整改闭环机制，实现运维工作可追溯、可优化，得3-4分；具备简单记录留存，无复盘优化及归档规范，得1-2分；无运维记录及归档管理机制，得0分。</w:t>
            </w:r>
          </w:p>
        </w:tc>
        <w:tc>
          <w:tcPr>
            <w:tcW w:w="642" w:type="pct"/>
            <w:tcBorders>
              <w:top w:val="nil"/>
              <w:left w:val="nil"/>
              <w:bottom w:val="single" w:color="auto" w:sz="4" w:space="0"/>
              <w:right w:val="single" w:color="auto" w:sz="4" w:space="0"/>
            </w:tcBorders>
            <w:noWrap/>
            <w:vAlign w:val="center"/>
          </w:tcPr>
          <w:p w14:paraId="6FA56D3A">
            <w:pPr>
              <w:widowControl/>
              <w:jc w:val="center"/>
              <w:rPr>
                <w:rFonts w:ascii="宋体" w:hAnsi="宋体" w:eastAsia="宋体" w:cs="宋体"/>
                <w:kern w:val="0"/>
                <w:sz w:val="22"/>
                <w:szCs w:val="22"/>
              </w:rPr>
            </w:pPr>
            <w:r>
              <w:rPr>
                <w:rFonts w:hint="eastAsia" w:ascii="宋体" w:hAnsi="宋体" w:eastAsia="宋体" w:cs="宋体"/>
                <w:kern w:val="0"/>
                <w:sz w:val="22"/>
                <w:szCs w:val="22"/>
              </w:rPr>
              <w:t>4</w:t>
            </w:r>
          </w:p>
        </w:tc>
      </w:tr>
      <w:tr w14:paraId="6C69B2A4">
        <w:tblPrEx>
          <w:tblCellMar>
            <w:top w:w="0" w:type="dxa"/>
            <w:left w:w="108" w:type="dxa"/>
            <w:bottom w:w="0" w:type="dxa"/>
            <w:right w:w="108" w:type="dxa"/>
          </w:tblCellMar>
        </w:tblPrEx>
        <w:trPr>
          <w:trHeight w:val="270"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72C43672">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（三）商务评分（3</w:t>
            </w:r>
            <w:r>
              <w:rPr>
                <w:rFonts w:hint="eastAsia" w:ascii="宋体" w:hAnsi="宋体" w:eastAsia="宋体" w:cs="宋体"/>
                <w:b/>
                <w:bCs/>
                <w:color w:val="000000"/>
                <w:kern w:val="0"/>
                <w:sz w:val="22"/>
                <w:szCs w:val="22"/>
              </w:rPr>
              <w:t>0</w:t>
            </w:r>
            <w:r>
              <w:rPr>
                <w:rFonts w:ascii="宋体" w:hAnsi="宋体" w:eastAsia="宋体" w:cs="宋体"/>
                <w:b/>
                <w:bCs/>
                <w:color w:val="000000"/>
                <w:kern w:val="0"/>
                <w:sz w:val="22"/>
                <w:szCs w:val="22"/>
              </w:rPr>
              <w:t>分）</w:t>
            </w:r>
          </w:p>
        </w:tc>
      </w:tr>
      <w:tr w14:paraId="71E59F2C">
        <w:tblPrEx>
          <w:tblCellMar>
            <w:top w:w="0" w:type="dxa"/>
            <w:left w:w="108" w:type="dxa"/>
            <w:bottom w:w="0" w:type="dxa"/>
            <w:right w:w="108" w:type="dxa"/>
          </w:tblCellMar>
        </w:tblPrEx>
        <w:trPr>
          <w:trHeight w:val="810" w:hRule="atLeast"/>
        </w:trPr>
        <w:tc>
          <w:tcPr>
            <w:tcW w:w="658" w:type="dxa"/>
            <w:tcBorders>
              <w:top w:val="nil"/>
              <w:left w:val="single" w:color="auto" w:sz="4" w:space="0"/>
              <w:bottom w:val="single" w:color="auto" w:sz="4" w:space="0"/>
              <w:right w:val="single" w:color="auto" w:sz="4" w:space="0"/>
            </w:tcBorders>
            <w:noWrap/>
            <w:vAlign w:val="center"/>
          </w:tcPr>
          <w:p w14:paraId="2DF727E7">
            <w:pPr>
              <w:widowControl/>
              <w:jc w:val="center"/>
              <w:rPr>
                <w:rFonts w:ascii="宋体" w:hAnsi="宋体" w:eastAsia="宋体" w:cs="宋体"/>
                <w:kern w:val="0"/>
                <w:sz w:val="22"/>
                <w:szCs w:val="22"/>
              </w:rPr>
            </w:pPr>
            <w:r>
              <w:rPr>
                <w:rFonts w:ascii="宋体" w:hAnsi="宋体" w:eastAsia="宋体" w:cs="宋体"/>
                <w:kern w:val="0"/>
                <w:sz w:val="22"/>
                <w:szCs w:val="22"/>
              </w:rPr>
              <w:t>1</w:t>
            </w:r>
          </w:p>
        </w:tc>
        <w:tc>
          <w:tcPr>
            <w:tcW w:w="1321" w:type="dxa"/>
            <w:tcBorders>
              <w:top w:val="nil"/>
              <w:left w:val="nil"/>
              <w:bottom w:val="single" w:color="auto" w:sz="4" w:space="0"/>
              <w:right w:val="single" w:color="auto" w:sz="4" w:space="0"/>
            </w:tcBorders>
            <w:vAlign w:val="center"/>
          </w:tcPr>
          <w:p w14:paraId="7DC2992A">
            <w:pPr>
              <w:widowControl/>
              <w:rPr>
                <w:rFonts w:ascii="宋体" w:hAnsi="宋体" w:eastAsia="宋体" w:cs="宋体"/>
                <w:kern w:val="0"/>
                <w:sz w:val="22"/>
                <w:szCs w:val="22"/>
              </w:rPr>
            </w:pPr>
            <w:r>
              <w:rPr>
                <w:rFonts w:hint="eastAsia" w:ascii="宋体" w:hAnsi="宋体" w:eastAsia="宋体" w:cs="宋体"/>
              </w:rPr>
              <w:t>相关业绩</w:t>
            </w:r>
          </w:p>
        </w:tc>
        <w:tc>
          <w:tcPr>
            <w:tcW w:w="5493" w:type="dxa"/>
            <w:tcBorders>
              <w:top w:val="nil"/>
              <w:left w:val="nil"/>
              <w:bottom w:val="single" w:color="auto" w:sz="4" w:space="0"/>
              <w:right w:val="single" w:color="auto" w:sz="4" w:space="0"/>
            </w:tcBorders>
            <w:vAlign w:val="center"/>
          </w:tcPr>
          <w:p w14:paraId="2D7ACEB4">
            <w:pPr>
              <w:widowControl/>
              <w:rPr>
                <w:rFonts w:ascii="宋体" w:hAnsi="宋体" w:eastAsia="宋体" w:cs="宋体"/>
                <w:kern w:val="0"/>
                <w:sz w:val="22"/>
                <w:szCs w:val="22"/>
              </w:rPr>
            </w:pPr>
            <w:r>
              <w:rPr>
                <w:rFonts w:hint="eastAsia" w:ascii="宋体" w:hAnsi="宋体" w:eastAsia="宋体" w:cs="宋体"/>
              </w:rPr>
              <w:t>投标人提供近3年的运维服务类似项目业绩，需出具完整合同+完整年度运维验收报告，两项材料缺一不可，每提供1项业绩得2分，最高得6分，不提供不得分，并加盖投标人公章。</w:t>
            </w:r>
          </w:p>
        </w:tc>
        <w:tc>
          <w:tcPr>
            <w:tcW w:w="1101" w:type="dxa"/>
            <w:tcBorders>
              <w:top w:val="nil"/>
              <w:left w:val="nil"/>
              <w:bottom w:val="single" w:color="auto" w:sz="4" w:space="0"/>
              <w:right w:val="single" w:color="auto" w:sz="4" w:space="0"/>
            </w:tcBorders>
            <w:noWrap/>
            <w:vAlign w:val="center"/>
          </w:tcPr>
          <w:p w14:paraId="5B589F56">
            <w:pPr>
              <w:widowControl/>
              <w:jc w:val="center"/>
              <w:rPr>
                <w:rFonts w:ascii="宋体" w:hAnsi="宋体" w:eastAsia="宋体" w:cs="宋体"/>
                <w:kern w:val="0"/>
                <w:sz w:val="22"/>
                <w:szCs w:val="22"/>
              </w:rPr>
            </w:pPr>
            <w:r>
              <w:rPr>
                <w:rFonts w:ascii="宋体" w:hAnsi="宋体" w:eastAsia="宋体" w:cs="宋体"/>
                <w:kern w:val="0"/>
                <w:sz w:val="22"/>
                <w:szCs w:val="22"/>
              </w:rPr>
              <w:t>6</w:t>
            </w:r>
          </w:p>
        </w:tc>
      </w:tr>
      <w:tr w14:paraId="1D3BBAD3">
        <w:tblPrEx>
          <w:tblCellMar>
            <w:top w:w="0" w:type="dxa"/>
            <w:left w:w="108" w:type="dxa"/>
            <w:bottom w:w="0" w:type="dxa"/>
            <w:right w:w="108" w:type="dxa"/>
          </w:tblCellMar>
        </w:tblPrEx>
        <w:trPr>
          <w:trHeight w:val="810" w:hRule="atLeast"/>
        </w:trPr>
        <w:tc>
          <w:tcPr>
            <w:tcW w:w="658" w:type="dxa"/>
            <w:tcBorders>
              <w:top w:val="nil"/>
              <w:left w:val="single" w:color="auto" w:sz="4" w:space="0"/>
              <w:bottom w:val="single" w:color="auto" w:sz="4" w:space="0"/>
              <w:right w:val="single" w:color="auto" w:sz="4" w:space="0"/>
            </w:tcBorders>
            <w:noWrap/>
            <w:vAlign w:val="center"/>
          </w:tcPr>
          <w:p w14:paraId="111861A2">
            <w:pPr>
              <w:widowControl/>
              <w:jc w:val="center"/>
              <w:rPr>
                <w:rFonts w:ascii="宋体" w:hAnsi="宋体" w:eastAsia="宋体" w:cs="宋体"/>
                <w:kern w:val="0"/>
                <w:sz w:val="22"/>
                <w:szCs w:val="22"/>
              </w:rPr>
            </w:pPr>
            <w:r>
              <w:rPr>
                <w:rFonts w:ascii="宋体" w:hAnsi="宋体" w:eastAsia="宋体" w:cs="宋体"/>
                <w:kern w:val="0"/>
                <w:sz w:val="22"/>
                <w:szCs w:val="22"/>
              </w:rPr>
              <w:t>2</w:t>
            </w:r>
          </w:p>
        </w:tc>
        <w:tc>
          <w:tcPr>
            <w:tcW w:w="1321" w:type="dxa"/>
            <w:tcBorders>
              <w:top w:val="nil"/>
              <w:left w:val="nil"/>
              <w:bottom w:val="single" w:color="auto" w:sz="4" w:space="0"/>
              <w:right w:val="single" w:color="auto" w:sz="4" w:space="0"/>
            </w:tcBorders>
            <w:vAlign w:val="center"/>
          </w:tcPr>
          <w:p w14:paraId="6F66470F">
            <w:pPr>
              <w:widowControl/>
              <w:rPr>
                <w:rFonts w:ascii="宋体" w:hAnsi="宋体" w:eastAsia="宋体" w:cs="宋体"/>
                <w:kern w:val="0"/>
                <w:sz w:val="22"/>
                <w:szCs w:val="22"/>
              </w:rPr>
            </w:pPr>
            <w:r>
              <w:rPr>
                <w:rFonts w:hint="eastAsia" w:ascii="宋体" w:hAnsi="宋体" w:eastAsia="宋体" w:cs="宋体"/>
              </w:rPr>
              <w:t>相关评价</w:t>
            </w:r>
          </w:p>
        </w:tc>
        <w:tc>
          <w:tcPr>
            <w:tcW w:w="5493" w:type="dxa"/>
            <w:tcBorders>
              <w:top w:val="nil"/>
              <w:left w:val="nil"/>
              <w:bottom w:val="single" w:color="auto" w:sz="4" w:space="0"/>
              <w:right w:val="single" w:color="auto" w:sz="4" w:space="0"/>
            </w:tcBorders>
            <w:vAlign w:val="center"/>
          </w:tcPr>
          <w:p w14:paraId="41C10807">
            <w:pPr>
              <w:widowControl/>
              <w:rPr>
                <w:rFonts w:ascii="宋体" w:hAnsi="宋体" w:eastAsia="宋体" w:cs="宋体"/>
                <w:color w:val="FED961" w:themeColor="accent3" w:themeTint="99"/>
                <w:kern w:val="0"/>
                <w:sz w:val="22"/>
                <w:szCs w:val="22"/>
                <w:highlight w:val="yellow"/>
                <w14:textFill>
                  <w14:solidFill>
                    <w14:schemeClr w14:val="accent3">
                      <w14:lumMod w14:val="60000"/>
                      <w14:lumOff w14:val="40000"/>
                    </w14:schemeClr>
                  </w14:solidFill>
                </w14:textFill>
              </w:rPr>
            </w:pPr>
            <w:r>
              <w:rPr>
                <w:rFonts w:hint="eastAsia" w:ascii="宋体" w:hAnsi="宋体" w:eastAsia="宋体" w:cs="宋体"/>
              </w:rPr>
              <w:t>投标人提供近3年的网络运维类似项目的履约优良评价证明文件，并需加盖采购人单位公章，每提供1项得2分，最高得6分，不提供不得分，并加盖投标人公章。</w:t>
            </w:r>
          </w:p>
        </w:tc>
        <w:tc>
          <w:tcPr>
            <w:tcW w:w="1101" w:type="dxa"/>
            <w:tcBorders>
              <w:top w:val="nil"/>
              <w:left w:val="nil"/>
              <w:bottom w:val="single" w:color="auto" w:sz="4" w:space="0"/>
              <w:right w:val="single" w:color="auto" w:sz="4" w:space="0"/>
            </w:tcBorders>
            <w:noWrap/>
            <w:vAlign w:val="center"/>
          </w:tcPr>
          <w:p w14:paraId="255DDEDE">
            <w:pPr>
              <w:widowControl/>
              <w:jc w:val="center"/>
              <w:rPr>
                <w:rFonts w:ascii="宋体" w:hAnsi="宋体" w:eastAsia="宋体" w:cs="宋体"/>
                <w:kern w:val="0"/>
                <w:sz w:val="22"/>
                <w:szCs w:val="22"/>
              </w:rPr>
            </w:pPr>
            <w:r>
              <w:rPr>
                <w:rFonts w:ascii="宋体" w:hAnsi="宋体" w:eastAsia="宋体" w:cs="宋体"/>
                <w:kern w:val="0"/>
                <w:sz w:val="22"/>
                <w:szCs w:val="22"/>
              </w:rPr>
              <w:t>6</w:t>
            </w:r>
          </w:p>
        </w:tc>
      </w:tr>
      <w:tr w14:paraId="206AF1CC">
        <w:tblPrEx>
          <w:tblCellMar>
            <w:top w:w="0" w:type="dxa"/>
            <w:left w:w="108" w:type="dxa"/>
            <w:bottom w:w="0" w:type="dxa"/>
            <w:right w:w="108" w:type="dxa"/>
          </w:tblCellMar>
        </w:tblPrEx>
        <w:trPr>
          <w:trHeight w:val="540" w:hRule="atLeast"/>
        </w:trPr>
        <w:tc>
          <w:tcPr>
            <w:tcW w:w="658" w:type="dxa"/>
            <w:tcBorders>
              <w:top w:val="nil"/>
              <w:left w:val="single" w:color="auto" w:sz="4" w:space="0"/>
              <w:bottom w:val="single" w:color="auto" w:sz="4" w:space="0"/>
              <w:right w:val="single" w:color="auto" w:sz="4" w:space="0"/>
            </w:tcBorders>
            <w:noWrap/>
            <w:vAlign w:val="center"/>
          </w:tcPr>
          <w:p w14:paraId="177AF1C5">
            <w:pPr>
              <w:widowControl/>
              <w:jc w:val="center"/>
              <w:rPr>
                <w:rFonts w:ascii="宋体" w:hAnsi="宋体" w:eastAsia="宋体" w:cs="宋体"/>
                <w:kern w:val="0"/>
                <w:sz w:val="22"/>
                <w:szCs w:val="22"/>
              </w:rPr>
            </w:pPr>
            <w:r>
              <w:rPr>
                <w:rFonts w:ascii="宋体" w:hAnsi="宋体" w:eastAsia="宋体" w:cs="宋体"/>
                <w:kern w:val="0"/>
                <w:sz w:val="22"/>
                <w:szCs w:val="22"/>
              </w:rPr>
              <w:t>3</w:t>
            </w:r>
          </w:p>
        </w:tc>
        <w:tc>
          <w:tcPr>
            <w:tcW w:w="1321" w:type="dxa"/>
            <w:vMerge w:val="restart"/>
            <w:tcBorders>
              <w:top w:val="nil"/>
              <w:left w:val="single" w:color="auto" w:sz="4" w:space="0"/>
              <w:bottom w:val="single" w:color="auto" w:sz="4" w:space="0"/>
              <w:right w:val="single" w:color="auto" w:sz="4" w:space="0"/>
            </w:tcBorders>
            <w:vAlign w:val="center"/>
          </w:tcPr>
          <w:p w14:paraId="6299C01F">
            <w:pPr>
              <w:widowControl/>
              <w:rPr>
                <w:rFonts w:ascii="宋体" w:hAnsi="宋体" w:eastAsia="宋体" w:cs="宋体"/>
                <w:kern w:val="0"/>
                <w:sz w:val="22"/>
                <w:szCs w:val="22"/>
              </w:rPr>
            </w:pPr>
            <w:r>
              <w:rPr>
                <w:rFonts w:hint="eastAsia" w:ascii="宋体" w:hAnsi="宋体" w:eastAsia="宋体" w:cs="宋体"/>
              </w:rPr>
              <w:t>相关证书</w:t>
            </w:r>
          </w:p>
        </w:tc>
        <w:tc>
          <w:tcPr>
            <w:tcW w:w="5493" w:type="dxa"/>
            <w:tcBorders>
              <w:top w:val="nil"/>
              <w:left w:val="nil"/>
              <w:bottom w:val="single" w:color="auto" w:sz="4" w:space="0"/>
              <w:right w:val="single" w:color="auto" w:sz="4" w:space="0"/>
            </w:tcBorders>
            <w:vAlign w:val="center"/>
          </w:tcPr>
          <w:p w14:paraId="3F6C4FE3">
            <w:pPr>
              <w:widowControl/>
              <w:rPr>
                <w:rFonts w:ascii="宋体" w:hAnsi="宋体" w:eastAsia="宋体" w:cs="宋体"/>
                <w:kern w:val="0"/>
                <w:sz w:val="22"/>
                <w:szCs w:val="22"/>
              </w:rPr>
            </w:pPr>
            <w:r>
              <w:rPr>
                <w:rFonts w:hint="eastAsia" w:ascii="宋体" w:hAnsi="宋体" w:eastAsia="宋体" w:cs="宋体"/>
              </w:rPr>
              <w:t>投标人在投标文件中提供ISO9001认证证书复印件，并加盖公章得</w:t>
            </w:r>
            <w:r>
              <w:rPr>
                <w:rFonts w:hint="eastAsia" w:ascii="宋体" w:hAnsi="宋体" w:eastAsia="宋体" w:cs="宋体"/>
                <w:lang w:val="en-US" w:eastAsia="zh-CN"/>
              </w:rPr>
              <w:t>3</w:t>
            </w:r>
            <w:r>
              <w:rPr>
                <w:rFonts w:hint="eastAsia" w:ascii="宋体" w:hAnsi="宋体" w:eastAsia="宋体" w:cs="宋体"/>
              </w:rPr>
              <w:t>分，不提供不得分。</w:t>
            </w:r>
          </w:p>
        </w:tc>
        <w:tc>
          <w:tcPr>
            <w:tcW w:w="1101" w:type="dxa"/>
            <w:tcBorders>
              <w:top w:val="nil"/>
              <w:left w:val="nil"/>
              <w:bottom w:val="single" w:color="auto" w:sz="4" w:space="0"/>
              <w:right w:val="single" w:color="auto" w:sz="4" w:space="0"/>
            </w:tcBorders>
            <w:noWrap/>
            <w:vAlign w:val="center"/>
          </w:tcPr>
          <w:p w14:paraId="39417D26">
            <w:pPr>
              <w:widowControl/>
              <w:jc w:val="center"/>
              <w:rPr>
                <w:rFonts w:ascii="宋体" w:hAnsi="宋体" w:eastAsia="宋体" w:cs="宋体"/>
                <w:kern w:val="0"/>
                <w:sz w:val="22"/>
                <w:szCs w:val="22"/>
              </w:rPr>
            </w:pPr>
            <w:r>
              <w:rPr>
                <w:rFonts w:hint="eastAsia" w:ascii="宋体" w:hAnsi="宋体" w:eastAsia="宋体" w:cs="宋体"/>
                <w:kern w:val="0"/>
                <w:sz w:val="22"/>
                <w:szCs w:val="22"/>
                <w:lang w:val="en-US" w:eastAsia="zh-CN"/>
              </w:rPr>
              <w:t>3</w:t>
            </w:r>
          </w:p>
        </w:tc>
      </w:tr>
      <w:tr w14:paraId="5A01AF50">
        <w:tblPrEx>
          <w:tblCellMar>
            <w:top w:w="0" w:type="dxa"/>
            <w:left w:w="108" w:type="dxa"/>
            <w:bottom w:w="0" w:type="dxa"/>
            <w:right w:w="108" w:type="dxa"/>
          </w:tblCellMar>
        </w:tblPrEx>
        <w:trPr>
          <w:trHeight w:val="540" w:hRule="atLeast"/>
        </w:trPr>
        <w:tc>
          <w:tcPr>
            <w:tcW w:w="658" w:type="dxa"/>
            <w:tcBorders>
              <w:top w:val="nil"/>
              <w:left w:val="single" w:color="auto" w:sz="4" w:space="0"/>
              <w:bottom w:val="single" w:color="auto" w:sz="4" w:space="0"/>
              <w:right w:val="single" w:color="auto" w:sz="4" w:space="0"/>
            </w:tcBorders>
            <w:noWrap/>
            <w:vAlign w:val="center"/>
          </w:tcPr>
          <w:p w14:paraId="41CAF487">
            <w:pPr>
              <w:widowControl/>
              <w:jc w:val="center"/>
              <w:rPr>
                <w:rFonts w:ascii="宋体" w:hAnsi="宋体" w:eastAsia="宋体" w:cs="宋体"/>
                <w:kern w:val="0"/>
                <w:sz w:val="22"/>
                <w:szCs w:val="22"/>
              </w:rPr>
            </w:pPr>
            <w:r>
              <w:rPr>
                <w:rFonts w:ascii="宋体" w:hAnsi="宋体" w:eastAsia="宋体" w:cs="宋体"/>
                <w:kern w:val="0"/>
                <w:sz w:val="22"/>
                <w:szCs w:val="22"/>
              </w:rPr>
              <w:t>4</w:t>
            </w:r>
          </w:p>
        </w:tc>
        <w:tc>
          <w:tcPr>
            <w:tcW w:w="1321" w:type="dxa"/>
            <w:vMerge w:val="continue"/>
            <w:tcBorders>
              <w:top w:val="nil"/>
              <w:left w:val="single" w:color="auto" w:sz="4" w:space="0"/>
              <w:bottom w:val="single" w:color="auto" w:sz="4" w:space="0"/>
              <w:right w:val="single" w:color="auto" w:sz="4" w:space="0"/>
            </w:tcBorders>
            <w:vAlign w:val="center"/>
          </w:tcPr>
          <w:p w14:paraId="2213BB95">
            <w:pPr>
              <w:widowControl/>
              <w:rPr>
                <w:rFonts w:ascii="宋体" w:hAnsi="宋体" w:eastAsia="宋体" w:cs="宋体"/>
                <w:kern w:val="0"/>
                <w:sz w:val="22"/>
                <w:szCs w:val="22"/>
              </w:rPr>
            </w:pPr>
          </w:p>
        </w:tc>
        <w:tc>
          <w:tcPr>
            <w:tcW w:w="5493" w:type="dxa"/>
            <w:tcBorders>
              <w:top w:val="nil"/>
              <w:left w:val="nil"/>
              <w:bottom w:val="single" w:color="auto" w:sz="4" w:space="0"/>
              <w:right w:val="single" w:color="auto" w:sz="4" w:space="0"/>
            </w:tcBorders>
            <w:vAlign w:val="center"/>
          </w:tcPr>
          <w:p w14:paraId="6A10031E">
            <w:pPr>
              <w:widowControl/>
              <w:rPr>
                <w:rFonts w:ascii="宋体" w:hAnsi="宋体" w:eastAsia="宋体" w:cs="宋体"/>
                <w:kern w:val="0"/>
                <w:sz w:val="22"/>
                <w:szCs w:val="22"/>
              </w:rPr>
            </w:pPr>
            <w:r>
              <w:rPr>
                <w:rFonts w:hint="eastAsia" w:ascii="宋体" w:hAnsi="宋体" w:eastAsia="宋体" w:cs="宋体"/>
              </w:rPr>
              <w:t>投标人具有高新技术企业资质，投标文件提供证书复印件并加盖投标人公章得</w:t>
            </w:r>
            <w:r>
              <w:rPr>
                <w:rFonts w:hint="eastAsia" w:ascii="宋体" w:hAnsi="宋体" w:eastAsia="宋体" w:cs="宋体"/>
                <w:lang w:val="en-US" w:eastAsia="zh-CN"/>
              </w:rPr>
              <w:t>3</w:t>
            </w:r>
            <w:r>
              <w:rPr>
                <w:rFonts w:hint="eastAsia" w:ascii="宋体" w:hAnsi="宋体" w:eastAsia="宋体" w:cs="宋体"/>
              </w:rPr>
              <w:t>分，不提供不得分。</w:t>
            </w:r>
          </w:p>
        </w:tc>
        <w:tc>
          <w:tcPr>
            <w:tcW w:w="1101" w:type="dxa"/>
            <w:tcBorders>
              <w:top w:val="nil"/>
              <w:left w:val="nil"/>
              <w:bottom w:val="single" w:color="auto" w:sz="4" w:space="0"/>
              <w:right w:val="single" w:color="auto" w:sz="4" w:space="0"/>
            </w:tcBorders>
            <w:noWrap/>
            <w:vAlign w:val="center"/>
          </w:tcPr>
          <w:p w14:paraId="03547463">
            <w:pPr>
              <w:widowControl/>
              <w:jc w:val="center"/>
              <w:rPr>
                <w:rFonts w:ascii="宋体" w:hAnsi="宋体" w:eastAsia="宋体" w:cs="宋体"/>
                <w:kern w:val="0"/>
                <w:sz w:val="22"/>
                <w:szCs w:val="22"/>
              </w:rPr>
            </w:pPr>
            <w:r>
              <w:rPr>
                <w:rFonts w:hint="eastAsia" w:ascii="宋体" w:hAnsi="宋体" w:eastAsia="宋体" w:cs="宋体"/>
                <w:kern w:val="0"/>
                <w:sz w:val="22"/>
                <w:szCs w:val="22"/>
                <w:lang w:val="en-US" w:eastAsia="zh-CN"/>
              </w:rPr>
              <w:t>3</w:t>
            </w:r>
          </w:p>
        </w:tc>
      </w:tr>
      <w:tr w14:paraId="0697399B">
        <w:tblPrEx>
          <w:tblCellMar>
            <w:top w:w="0" w:type="dxa"/>
            <w:left w:w="108" w:type="dxa"/>
            <w:bottom w:w="0" w:type="dxa"/>
            <w:right w:w="108" w:type="dxa"/>
          </w:tblCellMar>
        </w:tblPrEx>
        <w:trPr>
          <w:trHeight w:val="540" w:hRule="atLeast"/>
        </w:trPr>
        <w:tc>
          <w:tcPr>
            <w:tcW w:w="658" w:type="dxa"/>
            <w:tcBorders>
              <w:top w:val="nil"/>
              <w:left w:val="single" w:color="auto" w:sz="4" w:space="0"/>
              <w:bottom w:val="single" w:color="auto" w:sz="4" w:space="0"/>
              <w:right w:val="single" w:color="auto" w:sz="4" w:space="0"/>
            </w:tcBorders>
            <w:noWrap/>
            <w:vAlign w:val="center"/>
          </w:tcPr>
          <w:p w14:paraId="0DAF767F">
            <w:pPr>
              <w:widowControl/>
              <w:jc w:val="center"/>
              <w:rPr>
                <w:rFonts w:ascii="宋体" w:hAnsi="宋体" w:eastAsia="宋体" w:cs="宋体"/>
                <w:kern w:val="0"/>
                <w:sz w:val="22"/>
                <w:szCs w:val="22"/>
              </w:rPr>
            </w:pPr>
            <w:r>
              <w:rPr>
                <w:rFonts w:ascii="宋体" w:hAnsi="宋体" w:eastAsia="宋体" w:cs="宋体"/>
                <w:kern w:val="0"/>
                <w:sz w:val="22"/>
                <w:szCs w:val="22"/>
              </w:rPr>
              <w:t>5</w:t>
            </w:r>
          </w:p>
        </w:tc>
        <w:tc>
          <w:tcPr>
            <w:tcW w:w="1321" w:type="dxa"/>
            <w:vMerge w:val="continue"/>
            <w:tcBorders>
              <w:top w:val="nil"/>
              <w:left w:val="single" w:color="auto" w:sz="4" w:space="0"/>
              <w:bottom w:val="single" w:color="auto" w:sz="4" w:space="0"/>
              <w:right w:val="single" w:color="auto" w:sz="4" w:space="0"/>
            </w:tcBorders>
            <w:vAlign w:val="center"/>
          </w:tcPr>
          <w:p w14:paraId="1F6195DE">
            <w:pPr>
              <w:widowControl/>
              <w:rPr>
                <w:rFonts w:ascii="宋体" w:hAnsi="宋体" w:eastAsia="宋体" w:cs="宋体"/>
                <w:kern w:val="0"/>
                <w:sz w:val="22"/>
                <w:szCs w:val="22"/>
              </w:rPr>
            </w:pPr>
          </w:p>
        </w:tc>
        <w:tc>
          <w:tcPr>
            <w:tcW w:w="5493" w:type="dxa"/>
            <w:tcBorders>
              <w:top w:val="nil"/>
              <w:left w:val="nil"/>
              <w:bottom w:val="single" w:color="auto" w:sz="4" w:space="0"/>
              <w:right w:val="single" w:color="auto" w:sz="4" w:space="0"/>
            </w:tcBorders>
            <w:vAlign w:val="center"/>
          </w:tcPr>
          <w:p w14:paraId="7DBF342B">
            <w:pPr>
              <w:widowControl/>
              <w:rPr>
                <w:rFonts w:ascii="宋体" w:hAnsi="宋体" w:eastAsia="宋体" w:cs="宋体"/>
                <w:kern w:val="0"/>
                <w:sz w:val="22"/>
                <w:szCs w:val="22"/>
              </w:rPr>
            </w:pPr>
            <w:r>
              <w:rPr>
                <w:rFonts w:hint="eastAsia" w:ascii="宋体" w:hAnsi="宋体" w:eastAsia="宋体" w:cs="宋体"/>
              </w:rPr>
              <w:t>投标人具有省级优秀服务业企业证书，投标文件提供证书复印件并加盖投标人公章得</w:t>
            </w:r>
            <w:r>
              <w:rPr>
                <w:rFonts w:hint="eastAsia" w:ascii="宋体" w:hAnsi="宋体" w:eastAsia="宋体" w:cs="宋体"/>
                <w:lang w:val="en-US" w:eastAsia="zh-CN"/>
              </w:rPr>
              <w:t>3</w:t>
            </w:r>
            <w:r>
              <w:rPr>
                <w:rFonts w:hint="eastAsia" w:ascii="宋体" w:hAnsi="宋体" w:eastAsia="宋体" w:cs="宋体"/>
              </w:rPr>
              <w:t>分，不提供不得分。</w:t>
            </w:r>
          </w:p>
        </w:tc>
        <w:tc>
          <w:tcPr>
            <w:tcW w:w="1101" w:type="dxa"/>
            <w:tcBorders>
              <w:top w:val="nil"/>
              <w:left w:val="nil"/>
              <w:bottom w:val="single" w:color="auto" w:sz="4" w:space="0"/>
              <w:right w:val="single" w:color="auto" w:sz="4" w:space="0"/>
            </w:tcBorders>
            <w:noWrap/>
            <w:vAlign w:val="center"/>
          </w:tcPr>
          <w:p w14:paraId="2B41639D">
            <w:pPr>
              <w:widowControl/>
              <w:jc w:val="center"/>
              <w:rPr>
                <w:rFonts w:ascii="宋体" w:hAnsi="宋体" w:eastAsia="宋体" w:cs="宋体"/>
                <w:kern w:val="0"/>
                <w:sz w:val="22"/>
                <w:szCs w:val="22"/>
              </w:rPr>
            </w:pPr>
            <w:r>
              <w:rPr>
                <w:rFonts w:hint="eastAsia" w:ascii="宋体" w:hAnsi="宋体" w:eastAsia="宋体" w:cs="宋体"/>
                <w:kern w:val="0"/>
                <w:sz w:val="22"/>
                <w:szCs w:val="22"/>
                <w:lang w:val="en-US" w:eastAsia="zh-CN"/>
              </w:rPr>
              <w:t>3</w:t>
            </w:r>
          </w:p>
        </w:tc>
      </w:tr>
      <w:tr w14:paraId="6325A311">
        <w:tblPrEx>
          <w:tblCellMar>
            <w:top w:w="0" w:type="dxa"/>
            <w:left w:w="108" w:type="dxa"/>
            <w:bottom w:w="0" w:type="dxa"/>
            <w:right w:w="108" w:type="dxa"/>
          </w:tblCellMar>
        </w:tblPrEx>
        <w:trPr>
          <w:trHeight w:val="540" w:hRule="atLeast"/>
        </w:trPr>
        <w:tc>
          <w:tcPr>
            <w:tcW w:w="658" w:type="dxa"/>
            <w:tcBorders>
              <w:top w:val="nil"/>
              <w:left w:val="single" w:color="auto" w:sz="4" w:space="0"/>
              <w:bottom w:val="single" w:color="auto" w:sz="4" w:space="0"/>
              <w:right w:val="single" w:color="auto" w:sz="4" w:space="0"/>
            </w:tcBorders>
            <w:noWrap/>
            <w:vAlign w:val="center"/>
          </w:tcPr>
          <w:p w14:paraId="7289B24B">
            <w:pPr>
              <w:widowControl/>
              <w:jc w:val="center"/>
              <w:rPr>
                <w:rFonts w:ascii="宋体" w:hAnsi="宋体" w:eastAsia="宋体" w:cs="宋体"/>
                <w:kern w:val="0"/>
                <w:sz w:val="22"/>
                <w:szCs w:val="22"/>
              </w:rPr>
            </w:pPr>
            <w:r>
              <w:rPr>
                <w:rFonts w:ascii="宋体" w:hAnsi="宋体" w:eastAsia="宋体" w:cs="宋体"/>
                <w:kern w:val="0"/>
                <w:sz w:val="22"/>
                <w:szCs w:val="22"/>
              </w:rPr>
              <w:t>6</w:t>
            </w:r>
          </w:p>
        </w:tc>
        <w:tc>
          <w:tcPr>
            <w:tcW w:w="1321" w:type="dxa"/>
            <w:vMerge w:val="continue"/>
            <w:tcBorders>
              <w:top w:val="nil"/>
              <w:left w:val="single" w:color="auto" w:sz="4" w:space="0"/>
              <w:bottom w:val="single" w:color="auto" w:sz="4" w:space="0"/>
              <w:right w:val="single" w:color="auto" w:sz="4" w:space="0"/>
            </w:tcBorders>
            <w:vAlign w:val="center"/>
          </w:tcPr>
          <w:p w14:paraId="2789CFEC">
            <w:pPr>
              <w:widowControl/>
              <w:rPr>
                <w:rFonts w:ascii="宋体" w:hAnsi="宋体" w:eastAsia="宋体" w:cs="宋体"/>
                <w:kern w:val="0"/>
                <w:sz w:val="22"/>
                <w:szCs w:val="22"/>
              </w:rPr>
            </w:pPr>
          </w:p>
        </w:tc>
        <w:tc>
          <w:tcPr>
            <w:tcW w:w="5493" w:type="dxa"/>
            <w:tcBorders>
              <w:top w:val="nil"/>
              <w:left w:val="nil"/>
              <w:bottom w:val="single" w:color="auto" w:sz="4" w:space="0"/>
              <w:right w:val="single" w:color="auto" w:sz="4" w:space="0"/>
            </w:tcBorders>
            <w:vAlign w:val="center"/>
          </w:tcPr>
          <w:p w14:paraId="6CFA6121">
            <w:pPr>
              <w:widowControl/>
              <w:rPr>
                <w:rFonts w:ascii="宋体" w:hAnsi="宋体" w:eastAsia="宋体" w:cs="宋体"/>
                <w:kern w:val="0"/>
                <w:sz w:val="22"/>
                <w:szCs w:val="22"/>
              </w:rPr>
            </w:pPr>
            <w:r>
              <w:rPr>
                <w:rFonts w:hint="eastAsia" w:ascii="宋体" w:hAnsi="宋体" w:eastAsia="宋体" w:cs="宋体"/>
              </w:rPr>
              <w:t>投标人具有吉林省“专精特新”中小企业认定文件，投标文件提供证书复印件并加盖投标人公章得</w:t>
            </w:r>
            <w:r>
              <w:rPr>
                <w:rFonts w:hint="eastAsia" w:ascii="宋体" w:hAnsi="宋体" w:eastAsia="宋体" w:cs="宋体"/>
                <w:lang w:val="en-US" w:eastAsia="zh-CN"/>
              </w:rPr>
              <w:t>3</w:t>
            </w:r>
            <w:r>
              <w:rPr>
                <w:rFonts w:hint="eastAsia" w:ascii="宋体" w:hAnsi="宋体" w:eastAsia="宋体" w:cs="宋体"/>
              </w:rPr>
              <w:t>分，不提供不得分。</w:t>
            </w:r>
          </w:p>
        </w:tc>
        <w:tc>
          <w:tcPr>
            <w:tcW w:w="1101" w:type="dxa"/>
            <w:tcBorders>
              <w:top w:val="nil"/>
              <w:left w:val="nil"/>
              <w:bottom w:val="single" w:color="auto" w:sz="4" w:space="0"/>
              <w:right w:val="single" w:color="auto" w:sz="4" w:space="0"/>
            </w:tcBorders>
            <w:noWrap/>
            <w:vAlign w:val="center"/>
          </w:tcPr>
          <w:p w14:paraId="5C6D2B5E">
            <w:pPr>
              <w:widowControl/>
              <w:jc w:val="center"/>
              <w:rPr>
                <w:rFonts w:ascii="宋体" w:hAnsi="宋体" w:eastAsia="宋体" w:cs="宋体"/>
                <w:kern w:val="0"/>
                <w:sz w:val="22"/>
                <w:szCs w:val="22"/>
              </w:rPr>
            </w:pPr>
            <w:r>
              <w:rPr>
                <w:rFonts w:hint="eastAsia" w:ascii="宋体" w:hAnsi="宋体" w:eastAsia="宋体" w:cs="宋体"/>
                <w:kern w:val="0"/>
                <w:sz w:val="22"/>
                <w:szCs w:val="22"/>
                <w:lang w:val="en-US" w:eastAsia="zh-CN"/>
              </w:rPr>
              <w:t>3</w:t>
            </w:r>
          </w:p>
        </w:tc>
      </w:tr>
      <w:tr w14:paraId="74272C27">
        <w:tblPrEx>
          <w:tblCellMar>
            <w:top w:w="0" w:type="dxa"/>
            <w:left w:w="108" w:type="dxa"/>
            <w:bottom w:w="0" w:type="dxa"/>
            <w:right w:w="108" w:type="dxa"/>
          </w:tblCellMar>
        </w:tblPrEx>
        <w:trPr>
          <w:trHeight w:val="810" w:hRule="atLeast"/>
        </w:trPr>
        <w:tc>
          <w:tcPr>
            <w:tcW w:w="658" w:type="dxa"/>
            <w:tcBorders>
              <w:top w:val="nil"/>
              <w:left w:val="single" w:color="auto" w:sz="4" w:space="0"/>
              <w:bottom w:val="single" w:color="auto" w:sz="4" w:space="0"/>
              <w:right w:val="single" w:color="auto" w:sz="4" w:space="0"/>
            </w:tcBorders>
            <w:noWrap/>
            <w:vAlign w:val="center"/>
          </w:tcPr>
          <w:p w14:paraId="35EDAEEC">
            <w:pPr>
              <w:widowControl/>
              <w:jc w:val="center"/>
              <w:rPr>
                <w:rFonts w:ascii="宋体" w:hAnsi="宋体" w:eastAsia="宋体" w:cs="宋体"/>
                <w:kern w:val="0"/>
                <w:sz w:val="22"/>
                <w:szCs w:val="22"/>
              </w:rPr>
            </w:pPr>
            <w:r>
              <w:rPr>
                <w:rFonts w:ascii="宋体" w:hAnsi="宋体" w:eastAsia="宋体" w:cs="宋体"/>
                <w:kern w:val="0"/>
                <w:sz w:val="22"/>
                <w:szCs w:val="22"/>
              </w:rPr>
              <w:t>7</w:t>
            </w:r>
          </w:p>
        </w:tc>
        <w:tc>
          <w:tcPr>
            <w:tcW w:w="1321" w:type="dxa"/>
            <w:vMerge w:val="continue"/>
            <w:tcBorders>
              <w:top w:val="nil"/>
              <w:left w:val="single" w:color="auto" w:sz="4" w:space="0"/>
              <w:bottom w:val="single" w:color="auto" w:sz="4" w:space="0"/>
              <w:right w:val="single" w:color="auto" w:sz="4" w:space="0"/>
            </w:tcBorders>
            <w:vAlign w:val="center"/>
          </w:tcPr>
          <w:p w14:paraId="7A5C7536">
            <w:pPr>
              <w:widowControl/>
              <w:rPr>
                <w:rFonts w:ascii="宋体" w:hAnsi="宋体" w:eastAsia="宋体" w:cs="宋体"/>
                <w:kern w:val="0"/>
                <w:sz w:val="22"/>
                <w:szCs w:val="22"/>
              </w:rPr>
            </w:pPr>
          </w:p>
        </w:tc>
        <w:tc>
          <w:tcPr>
            <w:tcW w:w="5493" w:type="dxa"/>
            <w:tcBorders>
              <w:top w:val="nil"/>
              <w:left w:val="nil"/>
              <w:bottom w:val="single" w:color="auto" w:sz="4" w:space="0"/>
              <w:right w:val="single" w:color="auto" w:sz="4" w:space="0"/>
            </w:tcBorders>
            <w:vAlign w:val="center"/>
          </w:tcPr>
          <w:p w14:paraId="4809A4E2">
            <w:pPr>
              <w:widowControl/>
              <w:rPr>
                <w:rFonts w:ascii="宋体" w:hAnsi="宋体" w:eastAsia="宋体" w:cs="宋体"/>
                <w:kern w:val="0"/>
                <w:sz w:val="22"/>
                <w:szCs w:val="22"/>
              </w:rPr>
            </w:pPr>
            <w:r>
              <w:rPr>
                <w:rFonts w:hint="eastAsia" w:ascii="宋体" w:hAnsi="宋体" w:eastAsia="宋体" w:cs="宋体"/>
              </w:rPr>
              <w:t>投标人拟派出的服务团队中人员具有中级及以上职称的，投标文件提供证书复印件并加盖投标人公章，每提供1人得</w:t>
            </w:r>
            <w:r>
              <w:rPr>
                <w:rFonts w:hint="eastAsia" w:ascii="宋体" w:hAnsi="宋体" w:eastAsia="宋体" w:cs="宋体"/>
                <w:lang w:val="en-US" w:eastAsia="zh-CN"/>
              </w:rPr>
              <w:t>3</w:t>
            </w:r>
            <w:r>
              <w:rPr>
                <w:rFonts w:hint="eastAsia" w:ascii="宋体" w:hAnsi="宋体" w:eastAsia="宋体" w:cs="宋体"/>
              </w:rPr>
              <w:t>分，满分</w:t>
            </w:r>
            <w:r>
              <w:rPr>
                <w:rFonts w:hint="eastAsia" w:ascii="宋体" w:hAnsi="宋体" w:eastAsia="宋体" w:cs="宋体"/>
                <w:lang w:val="en-US" w:eastAsia="zh-CN"/>
              </w:rPr>
              <w:t>6</w:t>
            </w:r>
            <w:r>
              <w:rPr>
                <w:rFonts w:hint="eastAsia" w:ascii="宋体" w:hAnsi="宋体" w:eastAsia="宋体" w:cs="宋体"/>
              </w:rPr>
              <w:t>分，需加盖投标人公章。</w:t>
            </w:r>
          </w:p>
        </w:tc>
        <w:tc>
          <w:tcPr>
            <w:tcW w:w="1101" w:type="dxa"/>
            <w:tcBorders>
              <w:top w:val="nil"/>
              <w:left w:val="nil"/>
              <w:bottom w:val="single" w:color="auto" w:sz="4" w:space="0"/>
              <w:right w:val="single" w:color="auto" w:sz="4" w:space="0"/>
            </w:tcBorders>
            <w:noWrap/>
            <w:vAlign w:val="center"/>
          </w:tcPr>
          <w:p w14:paraId="35074D24">
            <w:pPr>
              <w:widowControl/>
              <w:jc w:val="center"/>
              <w:rPr>
                <w:rFonts w:hint="eastAsia" w:ascii="宋体" w:hAnsi="宋体" w:eastAsia="宋体" w:cs="宋体"/>
                <w:kern w:val="0"/>
                <w:sz w:val="22"/>
                <w:szCs w:val="22"/>
              </w:rPr>
            </w:pPr>
            <w:r>
              <w:rPr>
                <w:rFonts w:hint="eastAsia" w:ascii="宋体" w:hAnsi="宋体" w:eastAsia="宋体" w:cs="宋体"/>
                <w:kern w:val="0"/>
                <w:sz w:val="22"/>
                <w:szCs w:val="22"/>
                <w:lang w:val="en-US" w:eastAsia="zh-CN"/>
              </w:rPr>
              <w:t>6</w:t>
            </w:r>
          </w:p>
        </w:tc>
      </w:tr>
    </w:tbl>
    <w:p w14:paraId="0582BEFB">
      <w:pPr>
        <w:pStyle w:val="11"/>
        <w:tabs>
          <w:tab w:val="left" w:pos="1080"/>
        </w:tabs>
        <w:ind w:firstLine="0" w:firstLineChars="0"/>
      </w:pPr>
    </w:p>
    <w:p w14:paraId="410BB41F">
      <w:pPr>
        <w:pStyle w:val="11"/>
        <w:tabs>
          <w:tab w:val="left" w:pos="1080"/>
        </w:tabs>
        <w:ind w:firstLine="0" w:firstLineChars="0"/>
      </w:pPr>
    </w:p>
    <w:p w14:paraId="6DC4006A">
      <w:pPr>
        <w:pStyle w:val="11"/>
        <w:tabs>
          <w:tab w:val="left" w:pos="1080"/>
        </w:tabs>
        <w:ind w:firstLine="0" w:firstLineChars="0"/>
      </w:pPr>
    </w:p>
    <w:p w14:paraId="203BBBB2">
      <w:pPr>
        <w:pStyle w:val="11"/>
        <w:tabs>
          <w:tab w:val="left" w:pos="1080"/>
        </w:tabs>
        <w:ind w:firstLine="0" w:firstLineChars="0"/>
      </w:pPr>
    </w:p>
    <w:p w14:paraId="3F8073A3">
      <w:pPr>
        <w:pStyle w:val="11"/>
        <w:tabs>
          <w:tab w:val="left" w:pos="1080"/>
        </w:tabs>
        <w:ind w:firstLine="0" w:firstLineChars="0"/>
      </w:pPr>
    </w:p>
    <w:p w14:paraId="7BB479F9">
      <w:pPr>
        <w:pStyle w:val="11"/>
        <w:tabs>
          <w:tab w:val="left" w:pos="1080"/>
        </w:tabs>
        <w:ind w:firstLine="0" w:firstLineChars="0"/>
      </w:pPr>
    </w:p>
    <w:p w14:paraId="5FB65DEB">
      <w:pPr>
        <w:pStyle w:val="11"/>
        <w:tabs>
          <w:tab w:val="left" w:pos="1080"/>
        </w:tabs>
        <w:ind w:firstLine="0" w:firstLineChars="0"/>
      </w:pPr>
    </w:p>
    <w:p w14:paraId="4AD4D0AF">
      <w:pPr>
        <w:pStyle w:val="11"/>
        <w:tabs>
          <w:tab w:val="left" w:pos="1080"/>
        </w:tabs>
        <w:ind w:firstLine="0" w:firstLineChars="0"/>
      </w:pPr>
    </w:p>
    <w:p w14:paraId="54D05F48">
      <w:pPr>
        <w:pStyle w:val="11"/>
        <w:tabs>
          <w:tab w:val="left" w:pos="1080"/>
        </w:tabs>
        <w:ind w:firstLine="0" w:firstLineChars="0"/>
      </w:pPr>
    </w:p>
    <w:p w14:paraId="44540F53">
      <w:pPr>
        <w:pStyle w:val="11"/>
        <w:tabs>
          <w:tab w:val="left" w:pos="1080"/>
        </w:tabs>
        <w:ind w:firstLine="0" w:firstLineChars="0"/>
        <w:rPr>
          <w:rFonts w:hint="eastAsia"/>
        </w:rPr>
      </w:pPr>
    </w:p>
    <w:p w14:paraId="18F65A7D">
      <w:pPr>
        <w:pStyle w:val="11"/>
        <w:tabs>
          <w:tab w:val="left" w:pos="1080"/>
        </w:tabs>
        <w:ind w:firstLine="0" w:firstLineChars="0"/>
        <w:rPr>
          <w:rFonts w:hint="eastAsia"/>
        </w:rPr>
      </w:pPr>
    </w:p>
    <w:p w14:paraId="7909D503">
      <w:pPr>
        <w:pStyle w:val="23"/>
        <w:numPr>
          <w:ilvl w:val="0"/>
          <w:numId w:val="1"/>
        </w:numPr>
        <w:tabs>
          <w:tab w:val="left" w:pos="1762"/>
        </w:tabs>
        <w:ind w:firstLine="640" w:firstLineChars="200"/>
      </w:pPr>
      <w:r>
        <w:t>合同主要条款</w:t>
      </w:r>
    </w:p>
    <w:p w14:paraId="093DC66F">
      <w:pPr>
        <w:pStyle w:val="3"/>
        <w:numPr>
          <w:ilvl w:val="0"/>
          <w:numId w:val="26"/>
        </w:numPr>
        <w:tabs>
          <w:tab w:val="left" w:pos="963"/>
        </w:tabs>
        <w:ind w:firstLine="482" w:firstLineChars="200"/>
      </w:pPr>
      <w:r>
        <w:t>服务期限</w:t>
      </w:r>
    </w:p>
    <w:p w14:paraId="21F24AFF">
      <w:pPr>
        <w:pStyle w:val="11"/>
        <w:ind w:firstLine="480"/>
      </w:pPr>
      <w:r>
        <w:t>合同服务期12个月，自合同签订生效之日起计算。服务期满采购人可根据年度履约评价情况，经内部审批流程后，与中标人协商续签服务合同。</w:t>
      </w:r>
    </w:p>
    <w:p w14:paraId="6733D4BA">
      <w:pPr>
        <w:pStyle w:val="3"/>
        <w:numPr>
          <w:ilvl w:val="0"/>
          <w:numId w:val="26"/>
        </w:numPr>
        <w:tabs>
          <w:tab w:val="left" w:pos="963"/>
        </w:tabs>
        <w:ind w:firstLine="482" w:firstLineChars="200"/>
      </w:pPr>
      <w:r>
        <w:t>合同价款及支付方式</w:t>
      </w:r>
    </w:p>
    <w:p w14:paraId="4A74D756">
      <w:pPr>
        <w:pStyle w:val="11"/>
        <w:ind w:firstLine="480"/>
      </w:pPr>
      <w:r>
        <w:t>合同总价：人民币16万元整，固定包干总价，合同履约期内不作任何价格调整。</w:t>
      </w:r>
    </w:p>
    <w:p w14:paraId="7F75CA11">
      <w:pPr>
        <w:pStyle w:val="11"/>
        <w:ind w:firstLine="480"/>
      </w:pPr>
      <w:r>
        <w:t>分二期付款模式：</w:t>
      </w:r>
    </w:p>
    <w:p w14:paraId="64D5E77C">
      <w:pPr>
        <w:pStyle w:val="11"/>
        <w:numPr>
          <w:ilvl w:val="0"/>
          <w:numId w:val="27"/>
        </w:numPr>
        <w:tabs>
          <w:tab w:val="left" w:pos="1080"/>
        </w:tabs>
      </w:pPr>
      <w:r>
        <w:t>首期付款：合同签订生效、驻场工程师到位正常开展运维服务后30日内，支付合同总价款70%；</w:t>
      </w:r>
    </w:p>
    <w:p w14:paraId="7D1E5CE1">
      <w:pPr>
        <w:pStyle w:val="11"/>
        <w:numPr>
          <w:ilvl w:val="0"/>
          <w:numId w:val="27"/>
        </w:numPr>
        <w:tabs>
          <w:tab w:val="left" w:pos="1080"/>
        </w:tabs>
      </w:pPr>
      <w:r>
        <w:t>尾款：服务期满12个月，完成年度总体验收，全部运维档案完整移交采购人，无遗留故障、无未整改安全隐患，30日内支付剩余30%合同价款。</w:t>
      </w:r>
    </w:p>
    <w:p w14:paraId="10DE25F8">
      <w:pPr>
        <w:pStyle w:val="11"/>
        <w:ind w:firstLine="480"/>
      </w:pPr>
      <w:r>
        <w:t>发票硬性要求：中标人每次申请付款前，须向采购人开具合法有效的增值税现代服务发票；未按要求提供合规发票，采购人有权顺延付款，不承担逾期付款违约责任。</w:t>
      </w:r>
    </w:p>
    <w:p w14:paraId="356342E2">
      <w:pPr>
        <w:pStyle w:val="3"/>
        <w:numPr>
          <w:ilvl w:val="0"/>
          <w:numId w:val="26"/>
        </w:numPr>
        <w:tabs>
          <w:tab w:val="left" w:pos="963"/>
        </w:tabs>
        <w:ind w:firstLine="482" w:firstLineChars="200"/>
      </w:pPr>
      <w:r>
        <w:t>双方权利与义务</w:t>
      </w:r>
    </w:p>
    <w:p w14:paraId="3C099CE3">
      <w:pPr>
        <w:pStyle w:val="4"/>
        <w:numPr>
          <w:ilvl w:val="0"/>
          <w:numId w:val="28"/>
        </w:numPr>
        <w:tabs>
          <w:tab w:val="left" w:pos="1204"/>
        </w:tabs>
        <w:ind w:firstLine="482" w:firstLineChars="200"/>
      </w:pPr>
      <w:r>
        <w:t>采购人权利义务</w:t>
      </w:r>
    </w:p>
    <w:p w14:paraId="57D48090">
      <w:pPr>
        <w:pStyle w:val="11"/>
        <w:ind w:firstLine="480"/>
      </w:pPr>
      <w:r>
        <w:t>为驻场工程师提供办公工位、机房出入通行权限、网络设备调试访问权限；</w:t>
      </w:r>
    </w:p>
    <w:p w14:paraId="0E54F4D3">
      <w:pPr>
        <w:pStyle w:val="11"/>
        <w:ind w:firstLine="480"/>
      </w:pPr>
      <w:r>
        <w:t>按照合同约定时限足额支付运维服务费用；</w:t>
      </w:r>
    </w:p>
    <w:p w14:paraId="6C40F454">
      <w:pPr>
        <w:pStyle w:val="11"/>
        <w:ind w:firstLine="480"/>
      </w:pPr>
      <w:r>
        <w:t>配合中标人开展机房巡检、设备配置调试、全网故障排查工作，提供现有网络架构、设备台账基础资料；</w:t>
      </w:r>
    </w:p>
    <w:p w14:paraId="12EA24C4">
      <w:pPr>
        <w:pStyle w:val="11"/>
        <w:ind w:firstLine="480"/>
      </w:pPr>
      <w:r>
        <w:t>按月对中标人运维服务开展验收，及时反馈故障、服务质量问题，要求中标人限期完成整改；</w:t>
      </w:r>
    </w:p>
    <w:p w14:paraId="3B913C8F">
      <w:pPr>
        <w:pStyle w:val="11"/>
        <w:ind w:firstLine="480"/>
      </w:pPr>
      <w:r>
        <w:t>有权监督驻场工程师在岗情况、日常工作质量；驻场人员服务不达标、擅自脱岗，采购人可书面要求中标人限期更换工程师。</w:t>
      </w:r>
    </w:p>
    <w:p w14:paraId="4DCD0D1E">
      <w:pPr>
        <w:pStyle w:val="4"/>
        <w:numPr>
          <w:ilvl w:val="0"/>
          <w:numId w:val="28"/>
        </w:numPr>
        <w:tabs>
          <w:tab w:val="left" w:pos="1204"/>
        </w:tabs>
        <w:ind w:firstLine="482" w:firstLineChars="200"/>
      </w:pPr>
      <w:r>
        <w:t>中标人权利义务</w:t>
      </w:r>
    </w:p>
    <w:p w14:paraId="4E7D2990">
      <w:pPr>
        <w:pStyle w:val="11"/>
        <w:ind w:firstLine="480"/>
      </w:pPr>
      <w:r>
        <w:t>严格按照招标文件要求派驻全职驻场工程师，严格遵守采购人单位管理制度、机房安全管理规定；</w:t>
      </w:r>
    </w:p>
    <w:p w14:paraId="32B06835">
      <w:pPr>
        <w:pStyle w:val="11"/>
        <w:ind w:firstLine="480"/>
      </w:pPr>
      <w:r>
        <w:t>严格按照采购需求全部运维内容提供7×24小时运维保障，按时交付月度、年度全套运维资料；</w:t>
      </w:r>
    </w:p>
    <w:p w14:paraId="349A8C80">
      <w:pPr>
        <w:pStyle w:val="11"/>
        <w:ind w:firstLine="480"/>
      </w:pPr>
      <w:r>
        <w:t>故障、安全隐患及时处置，采购人提出的服务整改要求须在规定时限内完成整改并书面反馈；</w:t>
      </w:r>
    </w:p>
    <w:p w14:paraId="280CDCC6">
      <w:pPr>
        <w:pStyle w:val="11"/>
        <w:ind w:firstLine="480"/>
      </w:pPr>
      <w:r>
        <w:t>严格保密采购人全部网络架构、IP地址段、医疗业务数据、网络设备账号密码等涉密信息；服务期满后删除中标人本地全部留存涉密资料，签订永久保密承诺书；</w:t>
      </w:r>
    </w:p>
    <w:p w14:paraId="107E5C58">
      <w:pPr>
        <w:pStyle w:val="11"/>
        <w:ind w:firstLine="480"/>
      </w:pPr>
      <w:r>
        <w:t>未经采购人书面同意，不得转包、分包本项目运维服务，不得擅自更换驻场工程师；</w:t>
      </w:r>
    </w:p>
    <w:p w14:paraId="5AA94939">
      <w:pPr>
        <w:pStyle w:val="11"/>
        <w:ind w:firstLine="480"/>
      </w:pPr>
      <w:r>
        <w:t>承担运维工作过程中因自身操作失误、故障处置不及时造成的全网中断、医疗数据泄露、机房设备损坏全部经济赔偿责任。</w:t>
      </w:r>
    </w:p>
    <w:p w14:paraId="2B6B04D2">
      <w:pPr>
        <w:pStyle w:val="3"/>
        <w:numPr>
          <w:ilvl w:val="0"/>
          <w:numId w:val="26"/>
        </w:numPr>
        <w:tabs>
          <w:tab w:val="left" w:pos="963"/>
        </w:tabs>
        <w:ind w:firstLine="482" w:firstLineChars="200"/>
      </w:pPr>
      <w:r>
        <w:t>永久保密条款</w:t>
      </w:r>
    </w:p>
    <w:p w14:paraId="43A4C275">
      <w:pPr>
        <w:pStyle w:val="11"/>
        <w:ind w:firstLine="480"/>
      </w:pPr>
      <w:r>
        <w:t>中标人对服务期间接触、获取的采购人网络拓扑、设备配置、全省医疗业务数据、内部办公信息等全部资料承担永久保密义务；</w:t>
      </w:r>
    </w:p>
    <w:p w14:paraId="22C4D800">
      <w:pPr>
        <w:pStyle w:val="11"/>
        <w:ind w:firstLine="480"/>
      </w:pPr>
      <w:r>
        <w:t>未经采购人书面许可，中标人不得向任何第三方复制、传播、泄露全部涉密信息；服务期满必须返还、销毁全部涉密纸质、电子资料；</w:t>
      </w:r>
    </w:p>
    <w:p w14:paraId="749F3523">
      <w:pPr>
        <w:pStyle w:val="11"/>
        <w:ind w:firstLine="480"/>
      </w:pPr>
      <w:r>
        <w:t>若中标人发生信息泄露事件，采购人有权单方面解除合同，全额扣除履约保证金，中标人承担全部经济损失及相关法律责任。</w:t>
      </w:r>
    </w:p>
    <w:p w14:paraId="1AC68850">
      <w:pPr>
        <w:pStyle w:val="3"/>
        <w:numPr>
          <w:ilvl w:val="0"/>
          <w:numId w:val="26"/>
        </w:numPr>
        <w:tabs>
          <w:tab w:val="left" w:pos="963"/>
        </w:tabs>
        <w:ind w:firstLine="482" w:firstLineChars="200"/>
      </w:pPr>
      <w:r>
        <w:t>完整违约责任</w:t>
      </w:r>
    </w:p>
    <w:p w14:paraId="4D681DA2">
      <w:pPr>
        <w:pStyle w:val="11"/>
        <w:ind w:firstLine="480"/>
      </w:pPr>
      <w:r>
        <w:t>驻场工程师无故脱岗、在岗不作为，每月累计3次及以上，采购人扣除当月5%服务费；累计6次采购人有权单方面解除合同，中标人支付合同总金额10%违约金。</w:t>
      </w:r>
    </w:p>
    <w:p w14:paraId="2E45AF03">
      <w:pPr>
        <w:pStyle w:val="11"/>
        <w:ind w:firstLine="480"/>
      </w:pPr>
      <w:r>
        <w:t>因中标人运维处置不及时、操作失误，造成省级医疗业务系统网络中断，单次中断超30分钟，每次扣除合同总金额3%违约金；造成重大数据泄露、全省医疗业务长时间瘫痪，采购人可直接解除合同，中标人赔偿全部经济损失。</w:t>
      </w:r>
    </w:p>
    <w:p w14:paraId="4257D3CA">
      <w:pPr>
        <w:pStyle w:val="11"/>
        <w:ind w:firstLine="480"/>
      </w:pPr>
      <w:r>
        <w:t>中标人未按时提交月度巡检报告、运维资料，每逾期1天扣除当期服务费1%；逾期超过7天，采购人有权暂缓支付当期款项。</w:t>
      </w:r>
    </w:p>
    <w:p w14:paraId="3E64D416">
      <w:pPr>
        <w:pStyle w:val="11"/>
        <w:ind w:firstLine="480"/>
      </w:pPr>
      <w:r>
        <w:t>中标人擅自转包、分包项目，或未经报备私自更换驻场工程师，采购人有权解除合同，没收全部履约保证金，中标人支付合同总价15%违约金。</w:t>
      </w:r>
    </w:p>
    <w:p w14:paraId="3D291274">
      <w:pPr>
        <w:pStyle w:val="11"/>
        <w:ind w:firstLine="480"/>
      </w:pPr>
      <w:r>
        <w:t>采购人逾期支付服务费，每逾期1日，按当期应付未付款金额万分之0.5支付违约金。</w:t>
      </w:r>
    </w:p>
    <w:p w14:paraId="6BB5CA66">
      <w:pPr>
        <w:pStyle w:val="3"/>
        <w:numPr>
          <w:ilvl w:val="0"/>
          <w:numId w:val="26"/>
        </w:numPr>
        <w:tabs>
          <w:tab w:val="left" w:pos="963"/>
        </w:tabs>
        <w:ind w:firstLine="482" w:firstLineChars="200"/>
      </w:pPr>
      <w:r>
        <w:t>验收与整改机制</w:t>
      </w:r>
    </w:p>
    <w:p w14:paraId="3822983A">
      <w:pPr>
        <w:pStyle w:val="11"/>
        <w:ind w:firstLine="480"/>
      </w:pPr>
      <w:r>
        <w:t>月度、年度验收标准严格按照招标文件第三章采购需求验收条款执行；</w:t>
      </w:r>
    </w:p>
    <w:p w14:paraId="2236B593">
      <w:pPr>
        <w:pStyle w:val="11"/>
        <w:ind w:firstLine="480"/>
      </w:pPr>
      <w:r>
        <w:t>验收过程中采购人发现运维资料缺失、故障未处置、安全隐患未整改，中标人须在采购人规定时限内完成整改；整改不合格不予通过当期验收，采购人暂缓支付对应周期服务款项。</w:t>
      </w:r>
    </w:p>
    <w:p w14:paraId="27E08D57">
      <w:pPr>
        <w:pStyle w:val="3"/>
        <w:numPr>
          <w:ilvl w:val="0"/>
          <w:numId w:val="26"/>
        </w:numPr>
        <w:tabs>
          <w:tab w:val="left" w:pos="963"/>
        </w:tabs>
        <w:ind w:firstLine="482" w:firstLineChars="200"/>
      </w:pPr>
      <w:r>
        <w:t>合同解除与终止</w:t>
      </w:r>
    </w:p>
    <w:p w14:paraId="6C9AFA46">
      <w:pPr>
        <w:pStyle w:val="11"/>
        <w:ind w:firstLine="480"/>
      </w:pPr>
      <w:r>
        <w:t>双方协商一致可书面解除本运维服务合同；</w:t>
      </w:r>
    </w:p>
    <w:p w14:paraId="10804E10">
      <w:pPr>
        <w:pStyle w:val="11"/>
        <w:ind w:firstLine="480"/>
      </w:pPr>
      <w:r>
        <w:t>中标人出现严重违约、泄露涉密信息、转包项目、多次服务整改不到位，采购人可单方面书面通知解除合同，无需承担任何赔偿责任；</w:t>
      </w:r>
    </w:p>
    <w:p w14:paraId="253F6E64">
      <w:pPr>
        <w:pStyle w:val="11"/>
        <w:ind w:firstLine="480"/>
      </w:pPr>
      <w:r>
        <w:t>合同服务期届</w:t>
      </w:r>
      <w:r>
        <w:rPr>
          <w:rFonts w:hint="eastAsia"/>
        </w:rPr>
        <w:t>满后</w:t>
      </w:r>
      <w:r>
        <w:t>，双方未达成续签书面协议，本合同自动终止。</w:t>
      </w:r>
    </w:p>
    <w:p w14:paraId="0D7ABD1C">
      <w:pPr>
        <w:pStyle w:val="3"/>
        <w:numPr>
          <w:ilvl w:val="0"/>
          <w:numId w:val="26"/>
        </w:numPr>
        <w:tabs>
          <w:tab w:val="left" w:pos="963"/>
        </w:tabs>
        <w:ind w:firstLine="482" w:firstLineChars="200"/>
      </w:pPr>
      <w:r>
        <w:t>争议解决方式</w:t>
      </w:r>
    </w:p>
    <w:p w14:paraId="38B5994A">
      <w:pPr>
        <w:pStyle w:val="11"/>
        <w:ind w:firstLine="480"/>
      </w:pPr>
      <w:r>
        <w:t>合同履行过程中发生争议，双方优先友好协商解决；协商无法达成一致，任何一方可向采购人所在地人民法院提起诉讼。</w:t>
      </w:r>
    </w:p>
    <w:p w14:paraId="29C6759D">
      <w:pPr>
        <w:pStyle w:val="3"/>
        <w:numPr>
          <w:ilvl w:val="0"/>
          <w:numId w:val="26"/>
        </w:numPr>
        <w:tabs>
          <w:tab w:val="left" w:pos="963"/>
        </w:tabs>
        <w:ind w:firstLine="482" w:firstLineChars="200"/>
      </w:pPr>
      <w:r>
        <w:t>其他通用约定</w:t>
      </w:r>
    </w:p>
    <w:p w14:paraId="3D9AD7AF">
      <w:pPr>
        <w:pStyle w:val="11"/>
        <w:ind w:firstLine="480"/>
      </w:pPr>
      <w:r>
        <w:t>本招标文件、中标人投标文件、中标通知书为本合同有效组成文件，与合同正文具备同等法律效力；</w:t>
      </w:r>
    </w:p>
    <w:p w14:paraId="785131A2">
      <w:pPr>
        <w:pStyle w:val="11"/>
        <w:ind w:firstLine="480"/>
      </w:pPr>
      <w:r>
        <w:t>本合同未尽事宜，双方可签订书面补充协议，补充协议与本合同具备同等法律效力；</w:t>
      </w:r>
    </w:p>
    <w:p w14:paraId="5DEA049E">
      <w:pPr>
        <w:pStyle w:val="11"/>
        <w:ind w:firstLine="480"/>
      </w:pPr>
      <w:r>
        <w:t>本合同一式肆份，采购人执贰份，中标人执贰份，自双方签字盖章之日起生效。</w:t>
      </w:r>
    </w:p>
    <w:p w14:paraId="75C00979">
      <w:pPr>
        <w:pStyle w:val="23"/>
        <w:numPr>
          <w:ilvl w:val="0"/>
          <w:numId w:val="1"/>
        </w:numPr>
        <w:tabs>
          <w:tab w:val="left" w:pos="1762"/>
        </w:tabs>
        <w:ind w:firstLine="640" w:firstLineChars="200"/>
      </w:pPr>
      <w:r>
        <w:t>投标文件格式</w:t>
      </w:r>
    </w:p>
    <w:p w14:paraId="63384C42">
      <w:pPr>
        <w:pStyle w:val="21"/>
        <w:outlineLvl w:val="1"/>
      </w:pPr>
      <w:r>
        <w:t>格式 1：投标函</w:t>
      </w:r>
    </w:p>
    <w:p w14:paraId="01D27000">
      <w:pPr>
        <w:pStyle w:val="11"/>
        <w:ind w:firstLine="0" w:firstLineChars="0"/>
      </w:pPr>
      <w:r>
        <w:t>致：吉林省卫生健康信息中心（采购人）</w:t>
      </w:r>
    </w:p>
    <w:p w14:paraId="011F5252">
      <w:pPr>
        <w:pStyle w:val="11"/>
        <w:ind w:firstLine="480"/>
      </w:pPr>
      <w:r>
        <w:t>根据贵方机房网络运维服务项目（项目编号：JL-WJXX-20260XX）招标公告，我方自愿参加本次投标，郑重承诺如下：</w:t>
      </w:r>
    </w:p>
    <w:p w14:paraId="29A5CE9D">
      <w:pPr>
        <w:pStyle w:val="11"/>
        <w:ind w:firstLine="480"/>
      </w:pPr>
      <w:r>
        <w:t>我方已完整阅读并理解招标文件全部内容，完全接受招标文件所有条款、采购需求、评标办法、合同条款，无任何异议。</w:t>
      </w:r>
    </w:p>
    <w:p w14:paraId="58F417B2">
      <w:pPr>
        <w:pStyle w:val="11"/>
        <w:ind w:firstLine="480"/>
      </w:pPr>
      <w:r>
        <w:t>我方投标总报价为人民币________元（大写：________________________），报价为完成本项目全部运维服务的固定包干总价，包含所有人工、交通、税费、巡检、应急保障等全部费用。</w:t>
      </w:r>
    </w:p>
    <w:p w14:paraId="273DFD57">
      <w:pPr>
        <w:pStyle w:val="11"/>
        <w:ind w:firstLine="480"/>
      </w:pPr>
      <w:r>
        <w:t>我方承诺服务周期12个月，派驻</w:t>
      </w:r>
      <w:r>
        <w:rPr>
          <w:rFonts w:hint="eastAsia"/>
        </w:rPr>
        <w:t>1</w:t>
      </w:r>
      <w:r>
        <w:t>名全职驻场工程师，完全满足招标文件人员配置、运维服务全部要求。</w:t>
      </w:r>
    </w:p>
    <w:p w14:paraId="102CC388">
      <w:pPr>
        <w:pStyle w:val="11"/>
        <w:ind w:firstLine="480"/>
      </w:pPr>
      <w:r>
        <w:t>我方承诺投标有效期90日历天，有效期内不撤销投标文件。</w:t>
      </w:r>
    </w:p>
    <w:p w14:paraId="2055F27A">
      <w:pPr>
        <w:pStyle w:val="11"/>
        <w:ind w:firstLine="480"/>
      </w:pPr>
      <w:r>
        <w:t>我方承诺所提供全部投标资料、业绩、证书均真实有效，不存在伪造、弄虚作假情形；若存在虚假材料，自愿投标无效，接受政府采购相关处罚。</w:t>
      </w:r>
    </w:p>
    <w:p w14:paraId="1C440365">
      <w:pPr>
        <w:pStyle w:val="11"/>
        <w:ind w:firstLine="480"/>
      </w:pPr>
      <w:r>
        <w:t>我方同意按照招标文件要求缴纳履约保证金，严格履行合同全部义务，遵守保密条款。</w:t>
      </w:r>
    </w:p>
    <w:p w14:paraId="784301B2">
      <w:pPr>
        <w:pStyle w:val="11"/>
        <w:ind w:firstLine="480"/>
      </w:pPr>
      <w:r>
        <w:t>我方完全理解，贵方有权根据评审结果选择任意中标候选人，无义务解释未中标理由。</w:t>
      </w:r>
    </w:p>
    <w:p w14:paraId="3DA4F8DC">
      <w:pPr>
        <w:spacing w:after="120" w:line="360" w:lineRule="auto"/>
        <w:ind w:left="480"/>
        <w:rPr>
          <w:rFonts w:ascii="Times New Roman" w:hAnsi="Times New Roman" w:eastAsia="宋体" w:cs="Times New Roman"/>
          <w:sz w:val="24"/>
        </w:rPr>
      </w:pPr>
      <w:r>
        <w:rPr>
          <w:rFonts w:hint="eastAsia" w:ascii="Times New Roman" w:hAnsi="Times New Roman" w:eastAsia="宋体" w:cs="Times New Roman"/>
          <w:sz w:val="24"/>
        </w:rPr>
        <w:t>投标人（单位公章）：</w:t>
      </w:r>
    </w:p>
    <w:p w14:paraId="7CEBD8AD">
      <w:pPr>
        <w:spacing w:after="120" w:line="360" w:lineRule="auto"/>
        <w:ind w:left="480"/>
        <w:rPr>
          <w:rFonts w:ascii="Times New Roman" w:hAnsi="Times New Roman" w:eastAsia="宋体" w:cs="Times New Roman"/>
          <w:sz w:val="24"/>
        </w:rPr>
      </w:pPr>
      <w:r>
        <w:rPr>
          <w:rFonts w:hint="eastAsia" w:ascii="Times New Roman" w:hAnsi="Times New Roman" w:eastAsia="宋体" w:cs="Times New Roman"/>
          <w:sz w:val="24"/>
        </w:rPr>
        <w:t>法定代表人（签字或盖章）：</w:t>
      </w:r>
    </w:p>
    <w:p w14:paraId="7EE44CFF">
      <w:pPr>
        <w:spacing w:after="120" w:line="360" w:lineRule="auto"/>
        <w:ind w:left="480"/>
        <w:rPr>
          <w:rFonts w:ascii="Times New Roman" w:hAnsi="Times New Roman" w:eastAsia="宋体" w:cs="Times New Roman"/>
          <w:sz w:val="24"/>
        </w:rPr>
      </w:pPr>
      <w:r>
        <w:rPr>
          <w:rFonts w:hint="eastAsia" w:ascii="Times New Roman" w:hAnsi="Times New Roman" w:eastAsia="宋体" w:cs="Times New Roman"/>
          <w:sz w:val="24"/>
        </w:rPr>
        <w:t>日期：2026 年  月  日</w:t>
      </w:r>
    </w:p>
    <w:p w14:paraId="176ABF10">
      <w:r>
        <w:br w:type="page"/>
      </w:r>
    </w:p>
    <w:p w14:paraId="753075FE">
      <w:pPr>
        <w:pStyle w:val="21"/>
        <w:outlineLvl w:val="1"/>
      </w:pPr>
      <w:r>
        <w:t>格式 2：开标报价一览表</w:t>
      </w:r>
    </w:p>
    <w:p w14:paraId="5F2B7F6B">
      <w:pPr>
        <w:pStyle w:val="11"/>
        <w:ind w:firstLine="480"/>
      </w:pPr>
      <w:r>
        <w:t>项目名称：吉林省卫生健康信息中心机房网络运维服务项目</w:t>
      </w:r>
    </w:p>
    <w:p w14:paraId="22C40650">
      <w:pPr>
        <w:pStyle w:val="11"/>
        <w:ind w:firstLine="480"/>
      </w:pPr>
      <w:r>
        <w:t>项目编号：JL-WJXX-20260XX</w:t>
      </w:r>
    </w:p>
    <w:p w14:paraId="5532E7C1">
      <w:pPr>
        <w:pStyle w:val="11"/>
        <w:ind w:firstLine="480"/>
      </w:pPr>
      <w:r>
        <w:t>投标总报价（含税包干总价）：人民币________元（大写：________________）</w:t>
      </w:r>
    </w:p>
    <w:p w14:paraId="1CF1B5E6">
      <w:pPr>
        <w:pStyle w:val="11"/>
        <w:ind w:firstLine="480"/>
      </w:pPr>
      <w:r>
        <w:t>服务期限：12个月</w:t>
      </w:r>
    </w:p>
    <w:p w14:paraId="7FDC09C6">
      <w:pPr>
        <w:pStyle w:val="11"/>
        <w:ind w:firstLine="480"/>
      </w:pPr>
      <w:r>
        <w:t>驻场工程师配置：1名全职现场驻场工程师</w:t>
      </w:r>
    </w:p>
    <w:p w14:paraId="376FED3D">
      <w:pPr>
        <w:pStyle w:val="11"/>
        <w:ind w:firstLine="480"/>
      </w:pPr>
      <w:r>
        <w:t>备注：报价包含本项目全部运维服务所有费用，无其他</w:t>
      </w:r>
      <w:r>
        <w:rPr>
          <w:rFonts w:hint="eastAsia"/>
        </w:rPr>
        <w:t>隐性收费</w:t>
      </w:r>
      <w:r>
        <w:t>。</w:t>
      </w:r>
    </w:p>
    <w:p w14:paraId="5BECFDD2">
      <w:pPr>
        <w:spacing w:after="120" w:line="360" w:lineRule="auto"/>
        <w:ind w:left="480"/>
        <w:rPr>
          <w:rFonts w:ascii="Times New Roman" w:hAnsi="Times New Roman" w:eastAsia="宋体" w:cs="Times New Roman"/>
          <w:sz w:val="24"/>
        </w:rPr>
      </w:pPr>
      <w:r>
        <w:rPr>
          <w:rFonts w:hint="eastAsia" w:ascii="Times New Roman" w:hAnsi="Times New Roman" w:eastAsia="宋体" w:cs="Times New Roman"/>
          <w:sz w:val="24"/>
        </w:rPr>
        <w:t>投标人（盖章）：</w:t>
      </w:r>
    </w:p>
    <w:p w14:paraId="2DD25820">
      <w:pPr>
        <w:spacing w:after="120" w:line="360" w:lineRule="auto"/>
        <w:ind w:left="480"/>
        <w:rPr>
          <w:rFonts w:ascii="Times New Roman" w:hAnsi="Times New Roman" w:eastAsia="宋体" w:cs="Times New Roman"/>
          <w:sz w:val="24"/>
        </w:rPr>
      </w:pPr>
      <w:r>
        <w:rPr>
          <w:rFonts w:hint="eastAsia" w:ascii="Times New Roman" w:hAnsi="Times New Roman" w:eastAsia="宋体" w:cs="Times New Roman"/>
          <w:sz w:val="24"/>
        </w:rPr>
        <w:t>法定代表人/授权代表（签字）：</w:t>
      </w:r>
    </w:p>
    <w:p w14:paraId="798BA09C">
      <w:pPr>
        <w:spacing w:after="120" w:line="360" w:lineRule="auto"/>
        <w:ind w:left="480"/>
        <w:rPr>
          <w:rFonts w:ascii="Times New Roman" w:hAnsi="Times New Roman" w:eastAsia="宋体" w:cs="Times New Roman"/>
          <w:sz w:val="24"/>
        </w:rPr>
      </w:pPr>
      <w:r>
        <w:rPr>
          <w:rFonts w:hint="eastAsia" w:ascii="Times New Roman" w:hAnsi="Times New Roman" w:eastAsia="宋体" w:cs="Times New Roman"/>
          <w:sz w:val="24"/>
        </w:rPr>
        <w:t>日期：</w:t>
      </w:r>
    </w:p>
    <w:p w14:paraId="7C9D6A78">
      <w:r>
        <w:br w:type="page"/>
      </w:r>
    </w:p>
    <w:p w14:paraId="3E0A69B7">
      <w:pPr>
        <w:pStyle w:val="21"/>
        <w:outlineLvl w:val="1"/>
      </w:pPr>
      <w:r>
        <w:t>格式 3：分项报价明细表</w:t>
      </w:r>
    </w:p>
    <w:p w14:paraId="30866F84">
      <w:pPr>
        <w:pStyle w:val="32"/>
        <w:outlineLvl w:val="9"/>
        <w:rPr>
          <w:rFonts w:hint="eastAsia"/>
        </w:rPr>
      </w:pPr>
      <w:r>
        <w:t>分项报价明细表</w:t>
      </w:r>
    </w:p>
    <w:p w14:paraId="3070F338">
      <w:pPr>
        <w:spacing w:line="67" w:lineRule="exact"/>
      </w:pPr>
    </w:p>
    <w:tbl>
      <w:tblPr>
        <w:tblStyle w:val="29"/>
        <w:tblW w:w="501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722"/>
        <w:gridCol w:w="1528"/>
        <w:gridCol w:w="1476"/>
        <w:gridCol w:w="1719"/>
        <w:gridCol w:w="952"/>
        <w:gridCol w:w="1996"/>
      </w:tblGrid>
      <w:tr w14:paraId="6EF5B7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trPr>
        <w:tc>
          <w:tcPr>
            <w:tcW w:w="430" w:type="pct"/>
          </w:tcPr>
          <w:p w14:paraId="782F8421">
            <w:pPr>
              <w:pStyle w:val="28"/>
              <w:spacing w:before="197" w:line="221" w:lineRule="auto"/>
              <w:ind w:left="161"/>
              <w:rPr>
                <w:rFonts w:hint="eastAsia"/>
              </w:rPr>
            </w:pPr>
            <w:r>
              <w:rPr>
                <w:b/>
                <w:bCs/>
                <w:spacing w:val="-7"/>
              </w:rPr>
              <w:t>序号</w:t>
            </w:r>
          </w:p>
        </w:tc>
        <w:tc>
          <w:tcPr>
            <w:tcW w:w="910" w:type="pct"/>
          </w:tcPr>
          <w:p w14:paraId="51ECEF8E">
            <w:pPr>
              <w:pStyle w:val="28"/>
              <w:spacing w:before="198" w:line="219" w:lineRule="auto"/>
              <w:ind w:left="354"/>
              <w:rPr>
                <w:rFonts w:hint="eastAsia"/>
              </w:rPr>
            </w:pPr>
            <w:r>
              <w:rPr>
                <w:b/>
                <w:bCs/>
                <w:spacing w:val="-5"/>
              </w:rPr>
              <w:t>服务名称</w:t>
            </w:r>
          </w:p>
        </w:tc>
        <w:tc>
          <w:tcPr>
            <w:tcW w:w="879" w:type="pct"/>
          </w:tcPr>
          <w:p w14:paraId="09AF074F">
            <w:pPr>
              <w:pStyle w:val="28"/>
              <w:spacing w:before="198" w:line="219" w:lineRule="auto"/>
              <w:ind w:firstLine="231" w:firstLineChars="100"/>
              <w:rPr>
                <w:rFonts w:hint="eastAsia"/>
              </w:rPr>
            </w:pPr>
            <w:r>
              <w:rPr>
                <w:b/>
                <w:bCs/>
                <w:spacing w:val="-5"/>
              </w:rPr>
              <w:t>服务内容</w:t>
            </w:r>
          </w:p>
        </w:tc>
        <w:tc>
          <w:tcPr>
            <w:tcW w:w="1024" w:type="pct"/>
          </w:tcPr>
          <w:p w14:paraId="1AB82AAF">
            <w:pPr>
              <w:pStyle w:val="28"/>
              <w:spacing w:before="198" w:line="219" w:lineRule="auto"/>
              <w:ind w:firstLine="231" w:firstLineChars="100"/>
              <w:rPr>
                <w:rFonts w:hint="eastAsia"/>
                <w:b/>
                <w:bCs/>
                <w:spacing w:val="-5"/>
              </w:rPr>
            </w:pPr>
            <w:r>
              <w:rPr>
                <w:b/>
                <w:bCs/>
                <w:spacing w:val="-5"/>
              </w:rPr>
              <w:t>数量</w:t>
            </w:r>
            <w:r>
              <w:rPr>
                <w:rFonts w:hint="eastAsia"/>
                <w:b/>
                <w:bCs/>
                <w:spacing w:val="-5"/>
                <w:lang w:eastAsia="zh-CN"/>
              </w:rPr>
              <w:t>（</w:t>
            </w:r>
            <w:r>
              <w:rPr>
                <w:b/>
                <w:bCs/>
                <w:spacing w:val="-5"/>
              </w:rPr>
              <w:t>单位</w:t>
            </w:r>
            <w:r>
              <w:rPr>
                <w:rFonts w:hint="eastAsia"/>
                <w:b/>
                <w:bCs/>
                <w:spacing w:val="-5"/>
                <w:lang w:eastAsia="zh-CN"/>
              </w:rPr>
              <w:t>）</w:t>
            </w:r>
          </w:p>
        </w:tc>
        <w:tc>
          <w:tcPr>
            <w:tcW w:w="566" w:type="pct"/>
          </w:tcPr>
          <w:p w14:paraId="264A2BE8">
            <w:pPr>
              <w:pStyle w:val="28"/>
              <w:spacing w:before="198" w:line="219" w:lineRule="auto"/>
              <w:ind w:firstLine="231" w:firstLineChars="100"/>
              <w:rPr>
                <w:rFonts w:hint="eastAsia"/>
                <w:b/>
                <w:bCs/>
                <w:spacing w:val="-5"/>
              </w:rPr>
            </w:pPr>
            <w:r>
              <w:rPr>
                <w:b/>
                <w:bCs/>
                <w:spacing w:val="-5"/>
              </w:rPr>
              <w:t>单价</w:t>
            </w:r>
          </w:p>
        </w:tc>
        <w:tc>
          <w:tcPr>
            <w:tcW w:w="1189" w:type="pct"/>
          </w:tcPr>
          <w:p w14:paraId="06831CD4">
            <w:pPr>
              <w:pStyle w:val="28"/>
              <w:spacing w:before="198" w:line="219" w:lineRule="auto"/>
              <w:ind w:firstLine="231" w:firstLineChars="100"/>
              <w:rPr>
                <w:rFonts w:hint="eastAsia"/>
              </w:rPr>
            </w:pPr>
            <w:r>
              <w:rPr>
                <w:b/>
                <w:bCs/>
                <w:spacing w:val="-5"/>
              </w:rPr>
              <w:t>小计金额（元）</w:t>
            </w:r>
          </w:p>
        </w:tc>
      </w:tr>
      <w:tr w14:paraId="4F52FF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30" w:type="pct"/>
          </w:tcPr>
          <w:p w14:paraId="63942656">
            <w:pPr>
              <w:pStyle w:val="28"/>
              <w:spacing w:before="164" w:line="241" w:lineRule="auto"/>
              <w:ind w:left="362"/>
              <w:rPr>
                <w:rFonts w:hint="eastAsia"/>
              </w:rPr>
            </w:pPr>
            <w:r>
              <w:t>1</w:t>
            </w:r>
          </w:p>
        </w:tc>
        <w:tc>
          <w:tcPr>
            <w:tcW w:w="910" w:type="pct"/>
          </w:tcPr>
          <w:p w14:paraId="458F9DF7">
            <w:pPr>
              <w:rPr>
                <w:rFonts w:ascii="Arial"/>
              </w:rPr>
            </w:pPr>
          </w:p>
        </w:tc>
        <w:tc>
          <w:tcPr>
            <w:tcW w:w="879" w:type="pct"/>
          </w:tcPr>
          <w:p w14:paraId="31ABD5B6">
            <w:pPr>
              <w:rPr>
                <w:rFonts w:ascii="Arial"/>
              </w:rPr>
            </w:pPr>
          </w:p>
        </w:tc>
        <w:tc>
          <w:tcPr>
            <w:tcW w:w="1024" w:type="pct"/>
          </w:tcPr>
          <w:p w14:paraId="28327DD0">
            <w:pPr>
              <w:rPr>
                <w:rFonts w:ascii="Arial"/>
              </w:rPr>
            </w:pPr>
          </w:p>
        </w:tc>
        <w:tc>
          <w:tcPr>
            <w:tcW w:w="566" w:type="pct"/>
          </w:tcPr>
          <w:p w14:paraId="34114E1C">
            <w:pPr>
              <w:rPr>
                <w:rFonts w:ascii="Arial"/>
              </w:rPr>
            </w:pPr>
          </w:p>
        </w:tc>
        <w:tc>
          <w:tcPr>
            <w:tcW w:w="1189" w:type="pct"/>
          </w:tcPr>
          <w:p w14:paraId="16EE4ED5">
            <w:pPr>
              <w:rPr>
                <w:rFonts w:ascii="Arial"/>
              </w:rPr>
            </w:pPr>
          </w:p>
        </w:tc>
      </w:tr>
      <w:tr w14:paraId="0FCE24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30" w:type="pct"/>
          </w:tcPr>
          <w:p w14:paraId="3E2ED438">
            <w:pPr>
              <w:pStyle w:val="28"/>
              <w:spacing w:before="164" w:line="241" w:lineRule="auto"/>
              <w:ind w:left="348"/>
              <w:rPr>
                <w:rFonts w:hint="eastAsia"/>
              </w:rPr>
            </w:pPr>
            <w:r>
              <w:t>2</w:t>
            </w:r>
          </w:p>
        </w:tc>
        <w:tc>
          <w:tcPr>
            <w:tcW w:w="910" w:type="pct"/>
          </w:tcPr>
          <w:p w14:paraId="259049C1">
            <w:pPr>
              <w:rPr>
                <w:rFonts w:ascii="Arial"/>
              </w:rPr>
            </w:pPr>
          </w:p>
        </w:tc>
        <w:tc>
          <w:tcPr>
            <w:tcW w:w="879" w:type="pct"/>
          </w:tcPr>
          <w:p w14:paraId="2B6A29B0">
            <w:pPr>
              <w:rPr>
                <w:rFonts w:ascii="Arial"/>
              </w:rPr>
            </w:pPr>
          </w:p>
        </w:tc>
        <w:tc>
          <w:tcPr>
            <w:tcW w:w="1024" w:type="pct"/>
          </w:tcPr>
          <w:p w14:paraId="22CDFDBC">
            <w:pPr>
              <w:rPr>
                <w:rFonts w:ascii="Arial"/>
              </w:rPr>
            </w:pPr>
          </w:p>
        </w:tc>
        <w:tc>
          <w:tcPr>
            <w:tcW w:w="566" w:type="pct"/>
          </w:tcPr>
          <w:p w14:paraId="538BE2FF">
            <w:pPr>
              <w:rPr>
                <w:rFonts w:ascii="Arial"/>
              </w:rPr>
            </w:pPr>
          </w:p>
        </w:tc>
        <w:tc>
          <w:tcPr>
            <w:tcW w:w="1189" w:type="pct"/>
          </w:tcPr>
          <w:p w14:paraId="38903857">
            <w:pPr>
              <w:rPr>
                <w:rFonts w:ascii="Arial"/>
              </w:rPr>
            </w:pPr>
          </w:p>
        </w:tc>
      </w:tr>
      <w:tr w14:paraId="50B953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30" w:type="pct"/>
          </w:tcPr>
          <w:p w14:paraId="724A7E6F">
            <w:pPr>
              <w:pStyle w:val="28"/>
              <w:spacing w:before="165"/>
              <w:ind w:left="349"/>
              <w:rPr>
                <w:rFonts w:hint="eastAsia"/>
              </w:rPr>
            </w:pPr>
            <w:r>
              <w:t>3</w:t>
            </w:r>
          </w:p>
        </w:tc>
        <w:tc>
          <w:tcPr>
            <w:tcW w:w="910" w:type="pct"/>
          </w:tcPr>
          <w:p w14:paraId="2EE1557F">
            <w:pPr>
              <w:rPr>
                <w:rFonts w:ascii="Arial"/>
              </w:rPr>
            </w:pPr>
          </w:p>
        </w:tc>
        <w:tc>
          <w:tcPr>
            <w:tcW w:w="879" w:type="pct"/>
          </w:tcPr>
          <w:p w14:paraId="1599B5A4">
            <w:pPr>
              <w:rPr>
                <w:rFonts w:ascii="Arial"/>
              </w:rPr>
            </w:pPr>
          </w:p>
        </w:tc>
        <w:tc>
          <w:tcPr>
            <w:tcW w:w="1024" w:type="pct"/>
          </w:tcPr>
          <w:p w14:paraId="44DA1983">
            <w:pPr>
              <w:rPr>
                <w:rFonts w:ascii="Arial"/>
              </w:rPr>
            </w:pPr>
          </w:p>
        </w:tc>
        <w:tc>
          <w:tcPr>
            <w:tcW w:w="566" w:type="pct"/>
          </w:tcPr>
          <w:p w14:paraId="7E11949F">
            <w:pPr>
              <w:rPr>
                <w:rFonts w:ascii="Arial"/>
              </w:rPr>
            </w:pPr>
          </w:p>
        </w:tc>
        <w:tc>
          <w:tcPr>
            <w:tcW w:w="1189" w:type="pct"/>
          </w:tcPr>
          <w:p w14:paraId="037F9665">
            <w:pPr>
              <w:rPr>
                <w:rFonts w:ascii="Arial"/>
              </w:rPr>
            </w:pPr>
          </w:p>
        </w:tc>
      </w:tr>
      <w:tr w14:paraId="513C5C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30" w:type="pct"/>
          </w:tcPr>
          <w:p w14:paraId="70BC48D8">
            <w:pPr>
              <w:pStyle w:val="28"/>
              <w:spacing w:before="166" w:line="377" w:lineRule="exact"/>
              <w:ind w:left="300"/>
              <w:rPr>
                <w:rFonts w:hint="eastAsia"/>
              </w:rPr>
            </w:pPr>
            <w:r>
              <w:rPr>
                <w:position w:val="3"/>
              </w:rPr>
              <w:t>…</w:t>
            </w:r>
          </w:p>
        </w:tc>
        <w:tc>
          <w:tcPr>
            <w:tcW w:w="910" w:type="pct"/>
          </w:tcPr>
          <w:p w14:paraId="02436AF4">
            <w:pPr>
              <w:rPr>
                <w:rFonts w:ascii="Arial"/>
              </w:rPr>
            </w:pPr>
          </w:p>
        </w:tc>
        <w:tc>
          <w:tcPr>
            <w:tcW w:w="879" w:type="pct"/>
          </w:tcPr>
          <w:p w14:paraId="6F6AB614">
            <w:pPr>
              <w:rPr>
                <w:rFonts w:ascii="Arial"/>
              </w:rPr>
            </w:pPr>
          </w:p>
        </w:tc>
        <w:tc>
          <w:tcPr>
            <w:tcW w:w="1024" w:type="pct"/>
          </w:tcPr>
          <w:p w14:paraId="6BD81A3F">
            <w:pPr>
              <w:rPr>
                <w:rFonts w:ascii="Arial"/>
              </w:rPr>
            </w:pPr>
          </w:p>
        </w:tc>
        <w:tc>
          <w:tcPr>
            <w:tcW w:w="566" w:type="pct"/>
          </w:tcPr>
          <w:p w14:paraId="5C73D2E7">
            <w:pPr>
              <w:rPr>
                <w:rFonts w:ascii="Arial"/>
              </w:rPr>
            </w:pPr>
          </w:p>
        </w:tc>
        <w:tc>
          <w:tcPr>
            <w:tcW w:w="1189" w:type="pct"/>
          </w:tcPr>
          <w:p w14:paraId="626ED709">
            <w:pPr>
              <w:rPr>
                <w:rFonts w:ascii="Arial"/>
              </w:rPr>
            </w:pPr>
          </w:p>
        </w:tc>
      </w:tr>
      <w:tr w14:paraId="2AAF3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430" w:type="pct"/>
          </w:tcPr>
          <w:p w14:paraId="13B26125">
            <w:pPr>
              <w:rPr>
                <w:rFonts w:ascii="Arial"/>
              </w:rPr>
            </w:pPr>
          </w:p>
        </w:tc>
        <w:tc>
          <w:tcPr>
            <w:tcW w:w="910" w:type="pct"/>
          </w:tcPr>
          <w:p w14:paraId="3D458DFA">
            <w:pPr>
              <w:rPr>
                <w:rFonts w:ascii="Arial"/>
              </w:rPr>
            </w:pPr>
          </w:p>
        </w:tc>
        <w:tc>
          <w:tcPr>
            <w:tcW w:w="879" w:type="pct"/>
          </w:tcPr>
          <w:p w14:paraId="306478E0">
            <w:pPr>
              <w:pStyle w:val="28"/>
              <w:spacing w:before="168" w:line="220" w:lineRule="auto"/>
              <w:ind w:firstLine="234" w:firstLineChars="100"/>
              <w:rPr>
                <w:rFonts w:hint="eastAsia"/>
              </w:rPr>
            </w:pPr>
            <w:r>
              <w:rPr>
                <w:spacing w:val="-3"/>
              </w:rPr>
              <w:t>其它费用</w:t>
            </w:r>
          </w:p>
        </w:tc>
        <w:tc>
          <w:tcPr>
            <w:tcW w:w="1024" w:type="pct"/>
          </w:tcPr>
          <w:p w14:paraId="197E070A">
            <w:pPr>
              <w:rPr>
                <w:rFonts w:ascii="Arial"/>
              </w:rPr>
            </w:pPr>
          </w:p>
        </w:tc>
        <w:tc>
          <w:tcPr>
            <w:tcW w:w="566" w:type="pct"/>
          </w:tcPr>
          <w:p w14:paraId="12E0C00F">
            <w:pPr>
              <w:rPr>
                <w:rFonts w:ascii="Arial"/>
              </w:rPr>
            </w:pPr>
          </w:p>
        </w:tc>
        <w:tc>
          <w:tcPr>
            <w:tcW w:w="1189" w:type="pct"/>
          </w:tcPr>
          <w:p w14:paraId="5334C67B">
            <w:pPr>
              <w:rPr>
                <w:rFonts w:ascii="Arial"/>
              </w:rPr>
            </w:pPr>
          </w:p>
        </w:tc>
      </w:tr>
      <w:tr w14:paraId="77428C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430" w:type="pct"/>
          </w:tcPr>
          <w:p w14:paraId="1FEAF76C">
            <w:pPr>
              <w:rPr>
                <w:rFonts w:ascii="Arial"/>
              </w:rPr>
            </w:pPr>
          </w:p>
        </w:tc>
        <w:tc>
          <w:tcPr>
            <w:tcW w:w="910" w:type="pct"/>
          </w:tcPr>
          <w:p w14:paraId="1422A727">
            <w:pPr>
              <w:rPr>
                <w:rFonts w:ascii="Arial"/>
              </w:rPr>
            </w:pPr>
          </w:p>
        </w:tc>
        <w:tc>
          <w:tcPr>
            <w:tcW w:w="879" w:type="pct"/>
          </w:tcPr>
          <w:p w14:paraId="1073507F">
            <w:pPr>
              <w:pStyle w:val="28"/>
              <w:spacing w:before="168" w:line="378" w:lineRule="exact"/>
              <w:ind w:firstLine="428" w:firstLineChars="200"/>
              <w:rPr>
                <w:rFonts w:hint="eastAsia"/>
              </w:rPr>
            </w:pPr>
            <w:r>
              <w:rPr>
                <w:spacing w:val="-13"/>
                <w:position w:val="3"/>
              </w:rPr>
              <w:t>……</w:t>
            </w:r>
          </w:p>
        </w:tc>
        <w:tc>
          <w:tcPr>
            <w:tcW w:w="1024" w:type="pct"/>
          </w:tcPr>
          <w:p w14:paraId="32E3DCFF">
            <w:pPr>
              <w:rPr>
                <w:rFonts w:ascii="Arial"/>
              </w:rPr>
            </w:pPr>
          </w:p>
        </w:tc>
        <w:tc>
          <w:tcPr>
            <w:tcW w:w="566" w:type="pct"/>
          </w:tcPr>
          <w:p w14:paraId="6AA1F9B3">
            <w:pPr>
              <w:rPr>
                <w:rFonts w:ascii="Arial"/>
              </w:rPr>
            </w:pPr>
          </w:p>
        </w:tc>
        <w:tc>
          <w:tcPr>
            <w:tcW w:w="1189" w:type="pct"/>
          </w:tcPr>
          <w:p w14:paraId="62F54AC7">
            <w:pPr>
              <w:rPr>
                <w:rFonts w:ascii="Arial"/>
              </w:rPr>
            </w:pPr>
          </w:p>
        </w:tc>
      </w:tr>
      <w:tr w14:paraId="28E37E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3810" w:type="pct"/>
            <w:gridSpan w:val="5"/>
          </w:tcPr>
          <w:p w14:paraId="4F1CE27B">
            <w:pPr>
              <w:pStyle w:val="28"/>
              <w:spacing w:before="170" w:line="219" w:lineRule="auto"/>
              <w:ind w:left="2942"/>
              <w:rPr>
                <w:rFonts w:hint="eastAsia"/>
              </w:rPr>
            </w:pPr>
            <w:r>
              <w:rPr>
                <w:b/>
                <w:bCs/>
                <w:spacing w:val="-4"/>
              </w:rPr>
              <w:t>合计金额（元）</w:t>
            </w:r>
          </w:p>
        </w:tc>
        <w:tc>
          <w:tcPr>
            <w:tcW w:w="1189" w:type="pct"/>
          </w:tcPr>
          <w:p w14:paraId="222963B9">
            <w:pPr>
              <w:rPr>
                <w:rFonts w:ascii="Arial"/>
              </w:rPr>
            </w:pPr>
          </w:p>
        </w:tc>
      </w:tr>
    </w:tbl>
    <w:p w14:paraId="3A707456">
      <w:pPr>
        <w:pStyle w:val="11"/>
        <w:spacing w:before="113"/>
        <w:ind w:left="840" w:right="138" w:firstLine="4638" w:firstLineChars="1949"/>
        <w:rPr>
          <w:spacing w:val="-1"/>
          <w:szCs w:val="24"/>
          <w:u w:val="single"/>
        </w:rPr>
      </w:pPr>
      <w:r>
        <w:rPr>
          <w:spacing w:val="-1"/>
          <w:szCs w:val="24"/>
        </w:rPr>
        <w:t>供应商电子签章：</w:t>
      </w:r>
      <w:r>
        <w:rPr>
          <w:spacing w:val="-1"/>
          <w:szCs w:val="24"/>
          <w:u w:val="single"/>
        </w:rPr>
        <w:t xml:space="preserve">   </w:t>
      </w:r>
      <w:r>
        <w:rPr>
          <w:rFonts w:hint="eastAsia"/>
          <w:spacing w:val="-1"/>
          <w:szCs w:val="24"/>
          <w:u w:val="single"/>
        </w:rPr>
        <w:t xml:space="preserve">  </w:t>
      </w:r>
      <w:r>
        <w:rPr>
          <w:spacing w:val="-1"/>
          <w:szCs w:val="24"/>
          <w:u w:val="single"/>
        </w:rPr>
        <w:t xml:space="preserve"> </w:t>
      </w:r>
      <w:r>
        <w:rPr>
          <w:rFonts w:hint="eastAsia"/>
          <w:spacing w:val="-1"/>
          <w:szCs w:val="24"/>
          <w:u w:val="single"/>
        </w:rPr>
        <w:t xml:space="preserve">     </w:t>
      </w:r>
      <w:r>
        <w:rPr>
          <w:spacing w:val="-1"/>
          <w:szCs w:val="24"/>
          <w:u w:val="single"/>
        </w:rPr>
        <w:t xml:space="preserve">         </w:t>
      </w:r>
    </w:p>
    <w:p w14:paraId="072BDB77">
      <w:pPr>
        <w:pStyle w:val="11"/>
        <w:spacing w:before="113"/>
        <w:ind w:right="138" w:firstLine="5520" w:firstLineChars="2300"/>
        <w:rPr>
          <w:szCs w:val="24"/>
        </w:rPr>
      </w:pPr>
      <w:r>
        <w:rPr>
          <w:rFonts w:hint="eastAsia"/>
          <w:szCs w:val="24"/>
        </w:rPr>
        <w:t>日期：</w:t>
      </w:r>
      <w:r>
        <w:rPr>
          <w:szCs w:val="24"/>
          <w:u w:val="single"/>
        </w:rPr>
        <w:t xml:space="preserve">         </w:t>
      </w:r>
      <w:r>
        <w:rPr>
          <w:rFonts w:hint="eastAsia"/>
          <w:szCs w:val="24"/>
          <w:u w:val="single"/>
        </w:rPr>
        <w:t xml:space="preserve">        </w:t>
      </w:r>
      <w:r>
        <w:rPr>
          <w:szCs w:val="24"/>
          <w:u w:val="single"/>
        </w:rPr>
        <w:t xml:space="preserve">   </w:t>
      </w:r>
    </w:p>
    <w:p w14:paraId="388F1E00">
      <w:pPr>
        <w:pStyle w:val="11"/>
        <w:ind w:firstLine="482"/>
      </w:pPr>
      <w:r>
        <w:rPr>
          <w:b/>
        </w:rPr>
        <w:t>注：</w:t>
      </w:r>
    </w:p>
    <w:p w14:paraId="657EC18F">
      <w:pPr>
        <w:pStyle w:val="11"/>
        <w:ind w:firstLine="482"/>
      </w:pPr>
      <w:r>
        <w:rPr>
          <w:b/>
        </w:rPr>
        <w:t>表中所列服务为对应本项目需求的全部服务内容。如有漏项或缺项，供应商承担全部责任。</w:t>
      </w:r>
    </w:p>
    <w:p w14:paraId="4AD489CD">
      <w:r>
        <w:br w:type="page"/>
      </w:r>
    </w:p>
    <w:p w14:paraId="56B76B2B">
      <w:pPr>
        <w:pStyle w:val="21"/>
        <w:outlineLvl w:val="1"/>
      </w:pPr>
      <w:r>
        <w:t>格式 4：授权委托书</w:t>
      </w:r>
    </w:p>
    <w:p w14:paraId="55972776">
      <w:pPr>
        <w:pStyle w:val="32"/>
        <w:outlineLvl w:val="9"/>
        <w:rPr>
          <w:rFonts w:hint="eastAsia"/>
        </w:rPr>
      </w:pPr>
      <w:r>
        <w:t>授权委托书</w:t>
      </w:r>
    </w:p>
    <w:p w14:paraId="22D1C7B7">
      <w:pPr>
        <w:pStyle w:val="11"/>
        <w:ind w:firstLine="480"/>
      </w:pPr>
      <w:r>
        <w:t>本授权书声明：</w:t>
      </w:r>
      <w:r>
        <w:rPr>
          <w:u w:val="single"/>
        </w:rPr>
        <w:t xml:space="preserve">          </w:t>
      </w:r>
      <w:r>
        <w:t>（供应商名称）授权</w:t>
      </w:r>
      <w:r>
        <w:rPr>
          <w:u w:val="single"/>
        </w:rPr>
        <w:t xml:space="preserve">       </w:t>
      </w:r>
      <w:r>
        <w:t>（供应商授权代表姓名）代表我方参加本项目采购活动，全权代表我方处理磋商过程中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64E775E5">
      <w:pPr>
        <w:pStyle w:val="11"/>
        <w:ind w:firstLine="480"/>
      </w:pPr>
      <w:r>
        <w:t>本授权书自出具之日起生效。</w:t>
      </w:r>
    </w:p>
    <w:p w14:paraId="1EA2B7CC">
      <w:pPr>
        <w:pStyle w:val="11"/>
        <w:ind w:firstLine="480"/>
      </w:pPr>
      <w:r>
        <w:t>授权代表身份证明扫描件：</w:t>
      </w:r>
    </w:p>
    <w:p w14:paraId="6371CC46">
      <w:pPr>
        <w:spacing w:line="245" w:lineRule="auto"/>
        <w:rPr>
          <w:rFonts w:ascii="Arial"/>
        </w:rPr>
      </w:pPr>
    </w:p>
    <w:p w14:paraId="1FB677FE">
      <w:pPr>
        <w:spacing w:line="245" w:lineRule="auto"/>
        <w:rPr>
          <w:rFonts w:ascii="Arial"/>
        </w:rPr>
      </w:pPr>
    </w:p>
    <w:p w14:paraId="36260797">
      <w:pPr>
        <w:spacing w:line="245" w:lineRule="auto"/>
        <w:rPr>
          <w:rFonts w:ascii="Arial"/>
        </w:rPr>
      </w:pPr>
    </w:p>
    <w:p w14:paraId="6BFE0E29">
      <w:pPr>
        <w:spacing w:line="245" w:lineRule="auto"/>
        <w:rPr>
          <w:rFonts w:ascii="Arial"/>
        </w:rPr>
      </w:pPr>
    </w:p>
    <w:p w14:paraId="0C7220BA">
      <w:pPr>
        <w:spacing w:line="245" w:lineRule="auto"/>
        <w:rPr>
          <w:rFonts w:ascii="Arial"/>
        </w:rPr>
      </w:pPr>
    </w:p>
    <w:p w14:paraId="115E2D5B">
      <w:pPr>
        <w:spacing w:line="245" w:lineRule="auto"/>
        <w:rPr>
          <w:rFonts w:ascii="Arial"/>
        </w:rPr>
      </w:pPr>
    </w:p>
    <w:p w14:paraId="64FEAEDC">
      <w:pPr>
        <w:spacing w:line="245" w:lineRule="auto"/>
        <w:rPr>
          <w:rFonts w:ascii="Arial"/>
        </w:rPr>
      </w:pPr>
    </w:p>
    <w:p w14:paraId="19870D9C">
      <w:pPr>
        <w:pStyle w:val="11"/>
        <w:ind w:firstLine="480"/>
      </w:pPr>
      <w:r>
        <w:t>授权代表联系方式：</w:t>
      </w:r>
      <w:r>
        <w:rPr>
          <w:u w:val="single"/>
        </w:rPr>
        <w:t xml:space="preserve">         （请填写手机号码）</w:t>
      </w:r>
    </w:p>
    <w:p w14:paraId="6D21CB6C">
      <w:pPr>
        <w:spacing w:line="324" w:lineRule="auto"/>
        <w:rPr>
          <w:rFonts w:ascii="Arial"/>
        </w:rPr>
      </w:pPr>
    </w:p>
    <w:p w14:paraId="4485DF73">
      <w:pPr>
        <w:pStyle w:val="11"/>
        <w:ind w:firstLine="480"/>
      </w:pPr>
      <w:r>
        <w:t>特此声明。</w:t>
      </w:r>
    </w:p>
    <w:p w14:paraId="5EDA2A4C">
      <w:pPr>
        <w:spacing w:line="285" w:lineRule="auto"/>
        <w:rPr>
          <w:rFonts w:ascii="Arial"/>
        </w:rPr>
      </w:pPr>
    </w:p>
    <w:p w14:paraId="7295988C">
      <w:pPr>
        <w:pStyle w:val="11"/>
        <w:spacing w:before="113"/>
        <w:ind w:left="840" w:right="138" w:firstLine="4638" w:firstLineChars="1949"/>
        <w:rPr>
          <w:spacing w:val="-1"/>
          <w:szCs w:val="24"/>
          <w:u w:val="single"/>
        </w:rPr>
      </w:pPr>
      <w:r>
        <w:rPr>
          <w:spacing w:val="-1"/>
          <w:szCs w:val="24"/>
        </w:rPr>
        <w:t>供应商电子签章：</w:t>
      </w:r>
      <w:r>
        <w:rPr>
          <w:spacing w:val="-1"/>
          <w:szCs w:val="24"/>
          <w:u w:val="single"/>
        </w:rPr>
        <w:t xml:space="preserve">             </w:t>
      </w:r>
    </w:p>
    <w:p w14:paraId="700A251F">
      <w:pPr>
        <w:pStyle w:val="11"/>
        <w:spacing w:before="113"/>
        <w:ind w:right="138" w:firstLine="5520" w:firstLineChars="2300"/>
        <w:rPr>
          <w:szCs w:val="24"/>
        </w:rPr>
      </w:pPr>
      <w:r>
        <w:rPr>
          <w:rFonts w:hint="eastAsia"/>
          <w:szCs w:val="24"/>
        </w:rPr>
        <w:t>日期：</w:t>
      </w:r>
      <w:r>
        <w:rPr>
          <w:szCs w:val="24"/>
          <w:u w:val="single"/>
        </w:rPr>
        <w:t xml:space="preserve">         </w:t>
      </w:r>
      <w:r>
        <w:rPr>
          <w:rFonts w:hint="eastAsia"/>
          <w:szCs w:val="24"/>
          <w:u w:val="single"/>
        </w:rPr>
        <w:t xml:space="preserve">      </w:t>
      </w:r>
      <w:r>
        <w:rPr>
          <w:szCs w:val="24"/>
          <w:u w:val="single"/>
        </w:rPr>
        <w:t xml:space="preserve">   </w:t>
      </w:r>
    </w:p>
    <w:p w14:paraId="503F169D">
      <w:pPr>
        <w:spacing w:line="256" w:lineRule="auto"/>
        <w:rPr>
          <w:rFonts w:ascii="Arial"/>
        </w:rPr>
      </w:pPr>
    </w:p>
    <w:p w14:paraId="1F5364B9">
      <w:pPr>
        <w:spacing w:line="256" w:lineRule="auto"/>
        <w:rPr>
          <w:rFonts w:ascii="Arial"/>
        </w:rPr>
      </w:pPr>
    </w:p>
    <w:p w14:paraId="5D4BBEF5">
      <w:pPr>
        <w:pStyle w:val="11"/>
        <w:ind w:firstLine="480"/>
      </w:pPr>
      <w:r>
        <w:t>注：</w:t>
      </w:r>
    </w:p>
    <w:p w14:paraId="3DE9AE39">
      <w:pPr>
        <w:pStyle w:val="11"/>
        <w:ind w:firstLine="480"/>
      </w:pPr>
      <w:r>
        <w:t>1.本项目只允许有唯一的供应商授权代表，提供身份证明扫描件；</w:t>
      </w:r>
    </w:p>
    <w:p w14:paraId="48CD85CA">
      <w:pPr>
        <w:pStyle w:val="11"/>
        <w:ind w:firstLine="480"/>
        <w:sectPr>
          <w:footerReference r:id="rId6" w:type="default"/>
          <w:pgSz w:w="11906" w:h="16839"/>
          <w:pgMar w:top="1166" w:right="1764" w:bottom="1362" w:left="1785" w:header="829" w:footer="1200" w:gutter="0"/>
          <w:pgNumType w:start="1"/>
          <w:cols w:space="720" w:num="1"/>
        </w:sectPr>
      </w:pPr>
      <w:r>
        <w:t>2.法定代表人参加磋商的无需提供授权书，仅提供身份证明扫描件</w:t>
      </w:r>
    </w:p>
    <w:p w14:paraId="0F92825C">
      <w:pPr>
        <w:pStyle w:val="21"/>
        <w:outlineLvl w:val="1"/>
      </w:pPr>
      <w:r>
        <w:t>格式 5：资格证明材料目录</w:t>
      </w:r>
    </w:p>
    <w:p w14:paraId="029FAD16">
      <w:pPr>
        <w:pStyle w:val="11"/>
        <w:numPr>
          <w:ilvl w:val="0"/>
          <w:numId w:val="29"/>
        </w:numPr>
        <w:ind w:firstLineChars="0"/>
      </w:pPr>
      <w:r>
        <w:t>营业执照复印件（加盖公章）</w:t>
      </w:r>
    </w:p>
    <w:p w14:paraId="42BFD82B">
      <w:pPr>
        <w:pStyle w:val="11"/>
        <w:numPr>
          <w:ilvl w:val="0"/>
          <w:numId w:val="29"/>
        </w:numPr>
        <w:ind w:firstLineChars="0"/>
      </w:pPr>
      <w:r>
        <w:t>2025 年度财务审计报告或银行资信证明+财务承诺函</w:t>
      </w:r>
    </w:p>
    <w:p w14:paraId="54D4C5C9">
      <w:pPr>
        <w:pStyle w:val="11"/>
        <w:numPr>
          <w:ilvl w:val="0"/>
          <w:numId w:val="29"/>
        </w:numPr>
        <w:ind w:firstLineChars="0"/>
      </w:pPr>
      <w:r>
        <w:t>税收缴纳凭证、</w:t>
      </w:r>
      <w:r>
        <w:rPr>
          <w:rFonts w:hint="eastAsia"/>
        </w:rPr>
        <w:t>社会保障资金相关证明材料</w:t>
      </w:r>
    </w:p>
    <w:p w14:paraId="01B48A89">
      <w:pPr>
        <w:pStyle w:val="11"/>
        <w:numPr>
          <w:ilvl w:val="0"/>
          <w:numId w:val="29"/>
        </w:numPr>
        <w:ind w:firstLineChars="0"/>
      </w:pPr>
      <w:r>
        <w:t>无行贿犯罪记录承诺函</w:t>
      </w:r>
    </w:p>
    <w:p w14:paraId="06336D6F">
      <w:pPr>
        <w:pStyle w:val="11"/>
        <w:numPr>
          <w:ilvl w:val="0"/>
          <w:numId w:val="29"/>
        </w:numPr>
        <w:ind w:firstLineChars="0"/>
      </w:pPr>
      <w:r>
        <w:t>信用查询承诺函</w:t>
      </w:r>
    </w:p>
    <w:p w14:paraId="7DF9EFA0">
      <w:pPr>
        <w:pStyle w:val="21"/>
        <w:outlineLvl w:val="1"/>
      </w:pPr>
      <w:r>
        <w:t>格式 6：商务评分资料目录</w:t>
      </w:r>
    </w:p>
    <w:p w14:paraId="786AB5B6">
      <w:pPr>
        <w:pStyle w:val="11"/>
        <w:numPr>
          <w:ilvl w:val="0"/>
          <w:numId w:val="30"/>
        </w:numPr>
        <w:ind w:firstLineChars="0"/>
      </w:pPr>
      <w:r>
        <w:t>企业各类资质证书复印件</w:t>
      </w:r>
    </w:p>
    <w:p w14:paraId="30CA0E10">
      <w:pPr>
        <w:pStyle w:val="11"/>
        <w:numPr>
          <w:ilvl w:val="0"/>
          <w:numId w:val="30"/>
        </w:numPr>
        <w:ind w:firstLineChars="0"/>
      </w:pPr>
      <w:r>
        <w:t>同类运维业绩合同关键页</w:t>
      </w:r>
      <w:r>
        <w:rPr>
          <w:rFonts w:hint="eastAsia"/>
        </w:rPr>
        <w:t>+验收报告</w:t>
      </w:r>
    </w:p>
    <w:p w14:paraId="697CE6AF">
      <w:pPr>
        <w:pStyle w:val="11"/>
        <w:numPr>
          <w:ilvl w:val="0"/>
          <w:numId w:val="30"/>
        </w:numPr>
        <w:ind w:firstLineChars="0"/>
      </w:pPr>
      <w:r>
        <w:rPr>
          <w:rFonts w:hint="eastAsia"/>
        </w:rPr>
        <w:t>履约优良评价文件</w:t>
      </w:r>
    </w:p>
    <w:p w14:paraId="528A5AE5">
      <w:pPr>
        <w:pStyle w:val="21"/>
        <w:outlineLvl w:val="1"/>
        <w:rPr>
          <w:highlight w:val="none"/>
        </w:rPr>
      </w:pPr>
      <w:r>
        <w:t>格式 7：</w:t>
      </w:r>
      <w:r>
        <w:rPr>
          <w:highlight w:val="none"/>
        </w:rPr>
        <w:t>技术服务方案目录</w:t>
      </w:r>
    </w:p>
    <w:p w14:paraId="1510204E">
      <w:pPr>
        <w:pStyle w:val="11"/>
        <w:numPr>
          <w:ilvl w:val="0"/>
          <w:numId w:val="31"/>
        </w:numPr>
        <w:ind w:firstLine="480" w:firstLineChars="0"/>
        <w:rPr>
          <w:highlight w:val="none"/>
        </w:rPr>
      </w:pPr>
      <w:r>
        <w:rPr>
          <w:rFonts w:hint="eastAsia"/>
          <w:highlight w:val="none"/>
        </w:rPr>
        <w:t>全网设备全覆盖运维方案</w:t>
      </w:r>
    </w:p>
    <w:p w14:paraId="2DD778D8">
      <w:pPr>
        <w:pStyle w:val="11"/>
        <w:numPr>
          <w:ilvl w:val="0"/>
          <w:numId w:val="31"/>
        </w:numPr>
        <w:ind w:firstLine="480" w:firstLineChars="0"/>
        <w:rPr>
          <w:highlight w:val="none"/>
        </w:rPr>
      </w:pPr>
      <w:r>
        <w:rPr>
          <w:rFonts w:hint="eastAsia"/>
          <w:highlight w:val="none"/>
        </w:rPr>
        <w:t>核心网络运维与故障处置机制</w:t>
      </w:r>
    </w:p>
    <w:p w14:paraId="5093489F">
      <w:pPr>
        <w:pStyle w:val="11"/>
        <w:numPr>
          <w:ilvl w:val="0"/>
          <w:numId w:val="31"/>
        </w:numPr>
        <w:ind w:firstLine="480" w:firstLineChars="0"/>
        <w:rPr>
          <w:highlight w:val="none"/>
        </w:rPr>
      </w:pPr>
      <w:r>
        <w:rPr>
          <w:rFonts w:hint="eastAsia"/>
          <w:highlight w:val="none"/>
        </w:rPr>
        <w:t>月度全覆盖巡检与隐患闭环机制</w:t>
      </w:r>
    </w:p>
    <w:p w14:paraId="59112145">
      <w:pPr>
        <w:pStyle w:val="11"/>
        <w:numPr>
          <w:ilvl w:val="0"/>
          <w:numId w:val="31"/>
        </w:numPr>
        <w:ind w:firstLine="480" w:firstLineChars="0"/>
        <w:rPr>
          <w:highlight w:val="none"/>
        </w:rPr>
      </w:pPr>
      <w:r>
        <w:rPr>
          <w:rFonts w:hint="eastAsia"/>
          <w:highlight w:val="none"/>
        </w:rPr>
        <w:t>常态化网络基础管理机制</w:t>
      </w:r>
    </w:p>
    <w:p w14:paraId="299BE16C">
      <w:pPr>
        <w:pStyle w:val="11"/>
        <w:numPr>
          <w:ilvl w:val="0"/>
          <w:numId w:val="31"/>
        </w:numPr>
        <w:ind w:firstLine="480" w:firstLineChars="0"/>
        <w:rPr>
          <w:highlight w:val="none"/>
        </w:rPr>
      </w:pPr>
      <w:r>
        <w:rPr>
          <w:rFonts w:hint="eastAsia"/>
          <w:highlight w:val="none"/>
        </w:rPr>
        <w:t>安全支撑与重点时期值守保障</w:t>
      </w:r>
    </w:p>
    <w:p w14:paraId="26DC01A6">
      <w:pPr>
        <w:pStyle w:val="11"/>
        <w:numPr>
          <w:ilvl w:val="0"/>
          <w:numId w:val="31"/>
        </w:numPr>
        <w:ind w:firstLine="480" w:firstLineChars="0"/>
        <w:rPr>
          <w:highlight w:val="none"/>
        </w:rPr>
      </w:pPr>
      <w:r>
        <w:rPr>
          <w:rFonts w:hint="eastAsia"/>
          <w:highlight w:val="none"/>
        </w:rPr>
        <w:t>核心业务系统运行保障</w:t>
      </w:r>
    </w:p>
    <w:p w14:paraId="15D902A0">
      <w:pPr>
        <w:pStyle w:val="11"/>
        <w:numPr>
          <w:ilvl w:val="0"/>
          <w:numId w:val="31"/>
        </w:numPr>
        <w:ind w:firstLine="480" w:firstLineChars="0"/>
        <w:rPr>
          <w:highlight w:val="none"/>
        </w:rPr>
      </w:pPr>
      <w:r>
        <w:rPr>
          <w:rFonts w:hint="eastAsia"/>
          <w:highlight w:val="none"/>
        </w:rPr>
        <w:t>医疗机构对接全流程技术支撑</w:t>
      </w:r>
    </w:p>
    <w:p w14:paraId="5A77FBF6">
      <w:pPr>
        <w:pStyle w:val="11"/>
        <w:numPr>
          <w:ilvl w:val="0"/>
          <w:numId w:val="31"/>
        </w:numPr>
        <w:ind w:firstLine="480" w:firstLineChars="0"/>
        <w:rPr>
          <w:highlight w:val="none"/>
        </w:rPr>
      </w:pPr>
      <w:r>
        <w:rPr>
          <w:rFonts w:hint="eastAsia"/>
          <w:highlight w:val="none"/>
        </w:rPr>
        <w:t>第三方接入节点运维管控</w:t>
      </w:r>
    </w:p>
    <w:p w14:paraId="361B8C84">
      <w:pPr>
        <w:pStyle w:val="11"/>
        <w:numPr>
          <w:ilvl w:val="0"/>
          <w:numId w:val="31"/>
        </w:numPr>
        <w:ind w:firstLine="480" w:firstLineChars="0"/>
        <w:rPr>
          <w:highlight w:val="none"/>
        </w:rPr>
      </w:pPr>
      <w:r>
        <w:rPr>
          <w:rFonts w:hint="eastAsia"/>
          <w:highlight w:val="none"/>
        </w:rPr>
        <w:t>本省平台链路业务适配能力</w:t>
      </w:r>
    </w:p>
    <w:p w14:paraId="1675853B">
      <w:pPr>
        <w:pStyle w:val="11"/>
        <w:numPr>
          <w:ilvl w:val="0"/>
          <w:numId w:val="31"/>
        </w:numPr>
        <w:ind w:firstLine="480" w:firstLineChars="0"/>
        <w:rPr>
          <w:highlight w:val="none"/>
        </w:rPr>
      </w:pPr>
      <w:r>
        <w:rPr>
          <w:rFonts w:hint="eastAsia"/>
          <w:highlight w:val="none"/>
        </w:rPr>
        <w:t>医疗机构专线接入全流程服务</w:t>
      </w:r>
    </w:p>
    <w:p w14:paraId="5A2157B2">
      <w:pPr>
        <w:pStyle w:val="11"/>
        <w:numPr>
          <w:ilvl w:val="0"/>
          <w:numId w:val="31"/>
        </w:numPr>
        <w:ind w:firstLine="480" w:firstLineChars="0"/>
        <w:rPr>
          <w:highlight w:val="none"/>
        </w:rPr>
      </w:pPr>
      <w:r>
        <w:rPr>
          <w:rFonts w:hint="eastAsia"/>
          <w:highlight w:val="none"/>
        </w:rPr>
        <w:t>分级故障处置时效保障</w:t>
      </w:r>
    </w:p>
    <w:p w14:paraId="4F0C7CB1">
      <w:pPr>
        <w:pStyle w:val="11"/>
        <w:numPr>
          <w:ilvl w:val="0"/>
          <w:numId w:val="31"/>
        </w:numPr>
        <w:ind w:firstLine="480" w:firstLineChars="0"/>
        <w:rPr>
          <w:highlight w:val="none"/>
        </w:rPr>
      </w:pPr>
      <w:r>
        <w:rPr>
          <w:rFonts w:hint="eastAsia"/>
          <w:highlight w:val="none"/>
        </w:rPr>
        <w:t>接入档案与长效运行保障</w:t>
      </w:r>
    </w:p>
    <w:p w14:paraId="606F2424">
      <w:pPr>
        <w:pStyle w:val="11"/>
        <w:numPr>
          <w:ilvl w:val="0"/>
          <w:numId w:val="31"/>
        </w:numPr>
        <w:ind w:firstLine="480" w:firstLineChars="0"/>
        <w:rPr>
          <w:highlight w:val="none"/>
        </w:rPr>
      </w:pPr>
      <w:r>
        <w:rPr>
          <w:rFonts w:hint="eastAsia"/>
          <w:highlight w:val="none"/>
        </w:rPr>
        <w:t>办公网络与终端设备运维</w:t>
      </w:r>
    </w:p>
    <w:p w14:paraId="5AD1CC17">
      <w:pPr>
        <w:pStyle w:val="11"/>
        <w:numPr>
          <w:ilvl w:val="0"/>
          <w:numId w:val="31"/>
        </w:numPr>
        <w:ind w:firstLine="480" w:firstLineChars="0"/>
        <w:rPr>
          <w:highlight w:val="none"/>
        </w:rPr>
      </w:pPr>
      <w:r>
        <w:rPr>
          <w:rFonts w:hint="eastAsia"/>
          <w:highlight w:val="none"/>
        </w:rPr>
        <w:t>会议全流程专项保障</w:t>
      </w:r>
    </w:p>
    <w:p w14:paraId="688105B8">
      <w:pPr>
        <w:pStyle w:val="11"/>
        <w:numPr>
          <w:ilvl w:val="0"/>
          <w:numId w:val="31"/>
        </w:numPr>
        <w:ind w:firstLine="480" w:firstLineChars="0"/>
        <w:rPr>
          <w:highlight w:val="none"/>
        </w:rPr>
      </w:pPr>
      <w:r>
        <w:rPr>
          <w:rFonts w:hint="eastAsia"/>
          <w:highlight w:val="none"/>
        </w:rPr>
        <w:t>运维归档与复盘机制</w:t>
      </w:r>
    </w:p>
    <w:p w14:paraId="3B89F0A4">
      <w:pPr>
        <w:pStyle w:val="21"/>
        <w:outlineLvl w:val="1"/>
      </w:pPr>
      <w:r>
        <w:t xml:space="preserve">格式 </w:t>
      </w:r>
      <w:r>
        <w:rPr>
          <w:rFonts w:hint="eastAsia"/>
        </w:rPr>
        <w:t>8</w:t>
      </w:r>
      <w:r>
        <w:t>：供应商资格声明书</w:t>
      </w:r>
    </w:p>
    <w:p w14:paraId="35E19CD2">
      <w:pPr>
        <w:pStyle w:val="32"/>
        <w:outlineLvl w:val="9"/>
        <w:rPr>
          <w:rFonts w:hint="eastAsia"/>
        </w:rPr>
      </w:pPr>
      <w:r>
        <w:t>供应商资格声明书</w:t>
      </w:r>
    </w:p>
    <w:p w14:paraId="2B49E494">
      <w:pPr>
        <w:pStyle w:val="11"/>
        <w:ind w:firstLine="0" w:firstLineChars="0"/>
      </w:pPr>
      <w:r>
        <w:t>致：采购人</w:t>
      </w:r>
    </w:p>
    <w:p w14:paraId="4CD2D5C3">
      <w:pPr>
        <w:pStyle w:val="11"/>
        <w:ind w:firstLine="480"/>
      </w:pPr>
      <w:r>
        <w:t>在参与本次项目磋商中，我单位承诺：</w:t>
      </w:r>
    </w:p>
    <w:p w14:paraId="4F5F6511">
      <w:pPr>
        <w:pStyle w:val="11"/>
        <w:numPr>
          <w:ilvl w:val="0"/>
          <w:numId w:val="32"/>
        </w:numPr>
        <w:ind w:firstLineChars="0"/>
      </w:pPr>
      <w:r>
        <w:t>具有良好的商业信誉和健全的财务会计制度；</w:t>
      </w:r>
    </w:p>
    <w:p w14:paraId="19B5251B">
      <w:pPr>
        <w:pStyle w:val="11"/>
        <w:numPr>
          <w:ilvl w:val="0"/>
          <w:numId w:val="32"/>
        </w:numPr>
        <w:ind w:firstLineChars="0"/>
      </w:pPr>
      <w:r>
        <w:t>具有履行合同所必需的设备和专业技术能力；</w:t>
      </w:r>
    </w:p>
    <w:p w14:paraId="555D2DD0">
      <w:pPr>
        <w:pStyle w:val="11"/>
        <w:numPr>
          <w:ilvl w:val="0"/>
          <w:numId w:val="32"/>
        </w:numPr>
        <w:ind w:firstLineChars="0"/>
      </w:pPr>
      <w:r>
        <w:t>有依法缴纳税收和社会保障资金的良好记录；</w:t>
      </w:r>
    </w:p>
    <w:p w14:paraId="72B35675">
      <w:pPr>
        <w:pStyle w:val="11"/>
        <w:numPr>
          <w:ilvl w:val="0"/>
          <w:numId w:val="32"/>
        </w:numPr>
        <w:ind w:right="289" w:firstLineChars="0"/>
      </w:pPr>
      <w: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6508B4CC">
      <w:pPr>
        <w:pStyle w:val="11"/>
        <w:numPr>
          <w:ilvl w:val="0"/>
          <w:numId w:val="32"/>
        </w:numPr>
        <w:ind w:right="343" w:firstLineChars="0"/>
      </w:pPr>
      <w:r>
        <w:t>我单位不存在为采购项目提供整体设计、规范编制或者项目管理、监理、检测等服务后，再参加该采购项目的其他采购活动的情形（单一来源采购项目除外）；</w:t>
      </w:r>
    </w:p>
    <w:p w14:paraId="1A0CDE56">
      <w:pPr>
        <w:pStyle w:val="11"/>
        <w:numPr>
          <w:ilvl w:val="0"/>
          <w:numId w:val="32"/>
        </w:numPr>
        <w:ind w:right="343" w:firstLineChars="0"/>
      </w:pPr>
      <w:r>
        <w:t>与我单位存在单位负责人为同一人或者存在直接控股、管理关系的其他法人单位信息如下（如有，不论其是否参加同一合同项下的政府采购活动均须填写）：</w:t>
      </w:r>
    </w:p>
    <w:tbl>
      <w:tblPr>
        <w:tblStyle w:val="29"/>
        <w:tblW w:w="4836"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595"/>
        <w:gridCol w:w="4257"/>
        <w:gridCol w:w="2187"/>
      </w:tblGrid>
      <w:tr w14:paraId="44F93F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2" w:hRule="atLeast"/>
        </w:trPr>
        <w:tc>
          <w:tcPr>
            <w:tcW w:w="992" w:type="pct"/>
          </w:tcPr>
          <w:p w14:paraId="7ABA561E">
            <w:pPr>
              <w:pStyle w:val="28"/>
              <w:spacing w:before="118" w:line="221" w:lineRule="auto"/>
              <w:ind w:left="611"/>
              <w:rPr>
                <w:rFonts w:hint="eastAsia"/>
              </w:rPr>
            </w:pPr>
            <w:r>
              <w:rPr>
                <w:spacing w:val="-5"/>
              </w:rPr>
              <w:t>序号</w:t>
            </w:r>
          </w:p>
        </w:tc>
        <w:tc>
          <w:tcPr>
            <w:tcW w:w="2648" w:type="pct"/>
          </w:tcPr>
          <w:p w14:paraId="5986A4AC">
            <w:pPr>
              <w:pStyle w:val="28"/>
              <w:spacing w:before="118" w:line="220" w:lineRule="auto"/>
              <w:ind w:left="1781"/>
              <w:rPr>
                <w:rFonts w:hint="eastAsia"/>
              </w:rPr>
            </w:pPr>
            <w:r>
              <w:rPr>
                <w:spacing w:val="-3"/>
              </w:rPr>
              <w:t>单位名称</w:t>
            </w:r>
          </w:p>
        </w:tc>
        <w:tc>
          <w:tcPr>
            <w:tcW w:w="1360" w:type="pct"/>
          </w:tcPr>
          <w:p w14:paraId="1D684A5B">
            <w:pPr>
              <w:pStyle w:val="28"/>
              <w:spacing w:before="118" w:line="220" w:lineRule="auto"/>
              <w:ind w:left="682"/>
              <w:rPr>
                <w:rFonts w:hint="eastAsia"/>
              </w:rPr>
            </w:pPr>
            <w:r>
              <w:rPr>
                <w:spacing w:val="-3"/>
              </w:rPr>
              <w:t>相互关系</w:t>
            </w:r>
          </w:p>
        </w:tc>
      </w:tr>
      <w:tr w14:paraId="661C30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8" w:hRule="atLeast"/>
        </w:trPr>
        <w:tc>
          <w:tcPr>
            <w:tcW w:w="992" w:type="pct"/>
          </w:tcPr>
          <w:p w14:paraId="291184E6">
            <w:pPr>
              <w:pStyle w:val="28"/>
              <w:spacing w:before="117" w:line="241" w:lineRule="auto"/>
              <w:ind w:left="809"/>
              <w:rPr>
                <w:rFonts w:hint="eastAsia"/>
              </w:rPr>
            </w:pPr>
            <w:r>
              <w:t>1</w:t>
            </w:r>
          </w:p>
        </w:tc>
        <w:tc>
          <w:tcPr>
            <w:tcW w:w="2648" w:type="pct"/>
          </w:tcPr>
          <w:p w14:paraId="202434D6">
            <w:pPr>
              <w:rPr>
                <w:rFonts w:ascii="Arial"/>
              </w:rPr>
            </w:pPr>
          </w:p>
        </w:tc>
        <w:tc>
          <w:tcPr>
            <w:tcW w:w="1360" w:type="pct"/>
          </w:tcPr>
          <w:p w14:paraId="280BC1F2">
            <w:pPr>
              <w:rPr>
                <w:rFonts w:ascii="Arial"/>
              </w:rPr>
            </w:pPr>
          </w:p>
        </w:tc>
      </w:tr>
      <w:tr w14:paraId="104EFC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6" w:hRule="atLeast"/>
        </w:trPr>
        <w:tc>
          <w:tcPr>
            <w:tcW w:w="992" w:type="pct"/>
          </w:tcPr>
          <w:p w14:paraId="627741C2">
            <w:pPr>
              <w:pStyle w:val="28"/>
              <w:spacing w:before="119" w:line="241" w:lineRule="auto"/>
              <w:ind w:left="795"/>
              <w:rPr>
                <w:rFonts w:hint="eastAsia"/>
              </w:rPr>
            </w:pPr>
            <w:r>
              <w:t>2</w:t>
            </w:r>
          </w:p>
        </w:tc>
        <w:tc>
          <w:tcPr>
            <w:tcW w:w="2648" w:type="pct"/>
          </w:tcPr>
          <w:p w14:paraId="1422AC9C">
            <w:pPr>
              <w:rPr>
                <w:rFonts w:ascii="Arial"/>
              </w:rPr>
            </w:pPr>
          </w:p>
        </w:tc>
        <w:tc>
          <w:tcPr>
            <w:tcW w:w="1360" w:type="pct"/>
          </w:tcPr>
          <w:p w14:paraId="11449D30">
            <w:pPr>
              <w:rPr>
                <w:rFonts w:ascii="Arial"/>
              </w:rPr>
            </w:pPr>
          </w:p>
        </w:tc>
      </w:tr>
    </w:tbl>
    <w:p w14:paraId="414BC1AF">
      <w:pPr>
        <w:pStyle w:val="11"/>
        <w:ind w:firstLine="480"/>
      </w:pPr>
      <w:r>
        <w:t>本单位对上述声明的真实性负责。如有虚假，将依法承担相应责任。</w:t>
      </w:r>
    </w:p>
    <w:p w14:paraId="12523FA0">
      <w:pPr>
        <w:pStyle w:val="11"/>
        <w:spacing w:before="113"/>
        <w:ind w:left="840" w:right="138" w:firstLine="4638" w:firstLineChars="1949"/>
        <w:rPr>
          <w:spacing w:val="-1"/>
          <w:szCs w:val="24"/>
          <w:u w:val="single"/>
        </w:rPr>
      </w:pPr>
      <w:r>
        <w:rPr>
          <w:spacing w:val="-1"/>
          <w:szCs w:val="24"/>
        </w:rPr>
        <w:t>供应商电子签章：</w:t>
      </w:r>
      <w:r>
        <w:rPr>
          <w:spacing w:val="-1"/>
          <w:szCs w:val="24"/>
          <w:u w:val="single"/>
        </w:rPr>
        <w:t xml:space="preserve">             </w:t>
      </w:r>
    </w:p>
    <w:p w14:paraId="785FA9EC">
      <w:pPr>
        <w:pStyle w:val="11"/>
        <w:spacing w:before="113"/>
        <w:ind w:right="138" w:firstLine="5520" w:firstLineChars="2300"/>
      </w:pPr>
      <w:r>
        <w:rPr>
          <w:rFonts w:hint="eastAsia"/>
          <w:szCs w:val="24"/>
        </w:rPr>
        <w:t>日期：</w:t>
      </w:r>
      <w:r>
        <w:rPr>
          <w:szCs w:val="24"/>
          <w:u w:val="single"/>
        </w:rPr>
        <w:t xml:space="preserve">         </w:t>
      </w:r>
      <w:r>
        <w:rPr>
          <w:rFonts w:hint="eastAsia"/>
          <w:szCs w:val="24"/>
          <w:u w:val="single"/>
        </w:rPr>
        <w:t xml:space="preserve">      </w:t>
      </w:r>
      <w:r>
        <w:rPr>
          <w:szCs w:val="24"/>
          <w:u w:val="single"/>
        </w:rPr>
        <w:t xml:space="preserve">   </w:t>
      </w: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594B1">
    <w:pPr>
      <w:spacing w:line="176" w:lineRule="auto"/>
      <w:ind w:left="4085"/>
      <w:rPr>
        <w:rFonts w:ascii="Times New Roman" w:hAnsi="Times New Roman" w:eastAsia="Times New Roman" w:cs="Times New Rom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B05E68">
    <w:pPr>
      <w:spacing w:line="176" w:lineRule="auto"/>
      <w:ind w:left="4085"/>
      <w:rPr>
        <w:rFonts w:ascii="Times New Roman" w:hAnsi="Times New Roman" w:eastAsia="Times New Roman" w:cs="Times New Roman"/>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AA314C">
    <w:pPr>
      <w:spacing w:line="176" w:lineRule="auto"/>
      <w:ind w:left="40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204371">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3204371">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09AB52">
    <w:pPr>
      <w:pStyle w:val="11"/>
      <w:spacing w:line="14" w:lineRule="auto"/>
      <w:ind w:firstLine="400"/>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262EE3">
                          <w:pPr>
                            <w:pStyle w:val="13"/>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2262EE3">
                    <w:pPr>
                      <w:pStyle w:val="13"/>
                    </w:pPr>
                    <w:r>
                      <w:fldChar w:fldCharType="begin"/>
                    </w:r>
                    <w:r>
                      <w:instrText xml:space="preserve"> PAGE  \* MERGEFORMAT </w:instrText>
                    </w:r>
                    <w:r>
                      <w:fldChar w:fldCharType="separate"/>
                    </w:r>
                    <w:r>
                      <w:t>42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6062C">
    <w:pPr>
      <w:pStyle w:val="11"/>
      <w:spacing w:before="48" w:line="219" w:lineRule="auto"/>
      <w:ind w:left="27" w:firstLine="480"/>
      <w:rPr>
        <w:sz w:val="18"/>
        <w:szCs w:val="18"/>
      </w:rPr>
    </w:pPr>
    <w:r>
      <mc:AlternateContent>
        <mc:Choice Requires="wps">
          <w:drawing>
            <wp:anchor distT="0" distB="0" distL="114300" distR="114300" simplePos="0" relativeHeight="251660288" behindDoc="0" locked="0" layoutInCell="0" allowOverlap="1">
              <wp:simplePos x="0" y="0"/>
              <wp:positionH relativeFrom="page">
                <wp:posOffset>1143000</wp:posOffset>
              </wp:positionH>
              <wp:positionV relativeFrom="page">
                <wp:posOffset>701040</wp:posOffset>
              </wp:positionV>
              <wp:extent cx="5274310" cy="9525"/>
              <wp:effectExtent l="0" t="0" r="0" b="0"/>
              <wp:wrapNone/>
              <wp:docPr id="14" name="任意多边形 14"/>
              <wp:cNvGraphicFramePr/>
              <a:graphic xmlns:a="http://schemas.openxmlformats.org/drawingml/2006/main">
                <a:graphicData uri="http://schemas.microsoft.com/office/word/2010/wordprocessingShape">
                  <wps:wsp>
                    <wps:cNvSpPr/>
                    <wps:spPr>
                      <a:xfrm>
                        <a:off x="0" y="0"/>
                        <a:ext cx="5274310" cy="9525"/>
                      </a:xfrm>
                      <a:custGeom>
                        <a:avLst/>
                        <a:gdLst/>
                        <a:ahLst/>
                        <a:cxnLst/>
                        <a:rect l="0" t="0" r="0" b="0"/>
                        <a:pathLst>
                          <a:path w="8305" h="15">
                            <a:moveTo>
                              <a:pt x="0" y="0"/>
                            </a:moveTo>
                            <a:lnTo>
                              <a:pt x="8305" y="0"/>
                            </a:lnTo>
                            <a:lnTo>
                              <a:pt x="8305"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90pt;margin-top:55.2pt;height:0.75pt;width:415.3pt;mso-position-horizontal-relative:page;mso-position-vertical-relative:page;z-index:251660288;mso-width-relative:page;mso-height-relative:page;" fillcolor="#000000" filled="t" stroked="f" coordsize="8305,15" o:allowincell="f" o:gfxdata="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88ukXZAAAADAEAAA8A&#10;AAAAAAAAAQAgAAAAIgAAAGRycy9kb3ducmV2LnhtbFBLAQIUABQAAAAIAIdO4kDvojFVFgIAAJ4E&#10;AAAOAAAAAAAAAAEAIAAAACgBAABkcnMvZTJvRG9jLnhtbFBLBQYAAAAABgAGAFkBAACwBQAAAAA=&#10;" path="m0,0l8305,0,8305,14,0,14,0,0xe">
              <v:fill on="t" focussize="0,0"/>
              <v:stroke on="f"/>
              <v:imagedata o:title=""/>
              <o:lock v:ext="edit" aspectratio="f"/>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80ACC">
    <w:pPr>
      <w:pStyle w:val="14"/>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2807AB"/>
    <w:multiLevelType w:val="singleLevel"/>
    <w:tmpl w:val="8B2807AB"/>
    <w:lvl w:ilvl="0" w:tentative="0">
      <w:start w:val="1"/>
      <w:numFmt w:val="chineseCounting"/>
      <w:suff w:val="nothing"/>
      <w:lvlText w:val="（%1）"/>
      <w:lvlJc w:val="left"/>
      <w:pPr>
        <w:ind w:left="0" w:firstLine="420"/>
      </w:pPr>
      <w:rPr>
        <w:rFonts w:hint="eastAsia"/>
      </w:rPr>
    </w:lvl>
  </w:abstractNum>
  <w:abstractNum w:abstractNumId="1">
    <w:nsid w:val="8CFFDFFE"/>
    <w:multiLevelType w:val="singleLevel"/>
    <w:tmpl w:val="8CFFDFFE"/>
    <w:lvl w:ilvl="0" w:tentative="0">
      <w:start w:val="1"/>
      <w:numFmt w:val="chineseCounting"/>
      <w:suff w:val="nothing"/>
      <w:lvlText w:val="%1、"/>
      <w:lvlJc w:val="left"/>
      <w:pPr>
        <w:ind w:left="-482" w:firstLine="0"/>
      </w:pPr>
      <w:rPr>
        <w:rFonts w:hint="eastAsia"/>
      </w:rPr>
    </w:lvl>
  </w:abstractNum>
  <w:abstractNum w:abstractNumId="2">
    <w:nsid w:val="98051E0C"/>
    <w:multiLevelType w:val="singleLevel"/>
    <w:tmpl w:val="98051E0C"/>
    <w:lvl w:ilvl="0" w:tentative="0">
      <w:start w:val="1"/>
      <w:numFmt w:val="chineseCounting"/>
      <w:suff w:val="nothing"/>
      <w:lvlText w:val="（%1）"/>
      <w:lvlJc w:val="left"/>
      <w:pPr>
        <w:ind w:left="0" w:firstLine="420"/>
      </w:pPr>
      <w:rPr>
        <w:rFonts w:hint="eastAsia"/>
      </w:rPr>
    </w:lvl>
  </w:abstractNum>
  <w:abstractNum w:abstractNumId="3">
    <w:nsid w:val="9963CEFB"/>
    <w:multiLevelType w:val="singleLevel"/>
    <w:tmpl w:val="9963CEFB"/>
    <w:lvl w:ilvl="0" w:tentative="0">
      <w:start w:val="1"/>
      <w:numFmt w:val="chineseCounting"/>
      <w:suff w:val="nothing"/>
      <w:lvlText w:val="（%1）"/>
      <w:lvlJc w:val="left"/>
      <w:pPr>
        <w:ind w:left="0" w:firstLine="420"/>
      </w:pPr>
      <w:rPr>
        <w:rFonts w:hint="eastAsia"/>
      </w:rPr>
    </w:lvl>
  </w:abstractNum>
  <w:abstractNum w:abstractNumId="4">
    <w:nsid w:val="9B970ADE"/>
    <w:multiLevelType w:val="singleLevel"/>
    <w:tmpl w:val="9B970ADE"/>
    <w:lvl w:ilvl="0" w:tentative="0">
      <w:start w:val="1"/>
      <w:numFmt w:val="chineseCounting"/>
      <w:suff w:val="nothing"/>
      <w:lvlText w:val="（%1）"/>
      <w:lvlJc w:val="left"/>
      <w:pPr>
        <w:ind w:left="0" w:firstLine="420"/>
      </w:pPr>
      <w:rPr>
        <w:rFonts w:hint="eastAsia"/>
      </w:rPr>
    </w:lvl>
  </w:abstractNum>
  <w:abstractNum w:abstractNumId="5">
    <w:nsid w:val="9EF6F33F"/>
    <w:multiLevelType w:val="singleLevel"/>
    <w:tmpl w:val="9EF6F33F"/>
    <w:lvl w:ilvl="0" w:tentative="0">
      <w:start w:val="1"/>
      <w:numFmt w:val="chineseCounting"/>
      <w:suff w:val="nothing"/>
      <w:lvlText w:val="（%1）"/>
      <w:lvlJc w:val="left"/>
      <w:pPr>
        <w:ind w:left="0" w:firstLine="420"/>
      </w:pPr>
      <w:rPr>
        <w:rFonts w:hint="eastAsia"/>
      </w:rPr>
    </w:lvl>
  </w:abstractNum>
  <w:abstractNum w:abstractNumId="6">
    <w:nsid w:val="ACC621B7"/>
    <w:multiLevelType w:val="singleLevel"/>
    <w:tmpl w:val="ACC621B7"/>
    <w:lvl w:ilvl="0" w:tentative="0">
      <w:start w:val="1"/>
      <w:numFmt w:val="chineseCounting"/>
      <w:suff w:val="nothing"/>
      <w:lvlText w:val="%1、"/>
      <w:lvlJc w:val="left"/>
      <w:pPr>
        <w:ind w:left="0" w:firstLine="420"/>
      </w:pPr>
      <w:rPr>
        <w:rFonts w:hint="eastAsia"/>
      </w:rPr>
    </w:lvl>
  </w:abstractNum>
  <w:abstractNum w:abstractNumId="7">
    <w:nsid w:val="B1680B10"/>
    <w:multiLevelType w:val="singleLevel"/>
    <w:tmpl w:val="B1680B10"/>
    <w:lvl w:ilvl="0" w:tentative="0">
      <w:start w:val="1"/>
      <w:numFmt w:val="chineseCounting"/>
      <w:suff w:val="nothing"/>
      <w:lvlText w:val="%1、"/>
      <w:lvlJc w:val="left"/>
      <w:pPr>
        <w:ind w:left="0" w:firstLine="420"/>
      </w:pPr>
      <w:rPr>
        <w:rFonts w:hint="eastAsia"/>
      </w:rPr>
    </w:lvl>
  </w:abstractNum>
  <w:abstractNum w:abstractNumId="8">
    <w:nsid w:val="B337134B"/>
    <w:multiLevelType w:val="singleLevel"/>
    <w:tmpl w:val="B337134B"/>
    <w:lvl w:ilvl="0" w:tentative="0">
      <w:start w:val="1"/>
      <w:numFmt w:val="chineseCounting"/>
      <w:suff w:val="nothing"/>
      <w:lvlText w:val="（%1）"/>
      <w:lvlJc w:val="left"/>
      <w:pPr>
        <w:ind w:left="0" w:firstLine="420"/>
      </w:pPr>
      <w:rPr>
        <w:rFonts w:hint="eastAsia"/>
      </w:rPr>
    </w:lvl>
  </w:abstractNum>
  <w:abstractNum w:abstractNumId="9">
    <w:nsid w:val="B5C3E1AD"/>
    <w:multiLevelType w:val="singleLevel"/>
    <w:tmpl w:val="B5C3E1AD"/>
    <w:lvl w:ilvl="0" w:tentative="0">
      <w:start w:val="1"/>
      <w:numFmt w:val="decimal"/>
      <w:suff w:val="nothing"/>
      <w:lvlText w:val="（%1）"/>
      <w:lvlJc w:val="left"/>
      <w:pPr>
        <w:ind w:left="0" w:firstLine="480"/>
      </w:pPr>
      <w:rPr>
        <w:rFonts w:hint="default"/>
      </w:rPr>
    </w:lvl>
  </w:abstractNum>
  <w:abstractNum w:abstractNumId="10">
    <w:nsid w:val="B821311A"/>
    <w:multiLevelType w:val="singleLevel"/>
    <w:tmpl w:val="B821311A"/>
    <w:lvl w:ilvl="0" w:tentative="0">
      <w:start w:val="1"/>
      <w:numFmt w:val="chineseCounting"/>
      <w:suff w:val="nothing"/>
      <w:lvlText w:val="（%1）"/>
      <w:lvlJc w:val="left"/>
      <w:pPr>
        <w:ind w:left="0" w:firstLine="420"/>
      </w:pPr>
      <w:rPr>
        <w:rFonts w:hint="eastAsia"/>
      </w:rPr>
    </w:lvl>
  </w:abstractNum>
  <w:abstractNum w:abstractNumId="11">
    <w:nsid w:val="BDE7D67F"/>
    <w:multiLevelType w:val="multilevel"/>
    <w:tmpl w:val="BDE7D67F"/>
    <w:lvl w:ilvl="0" w:tentative="0">
      <w:start w:val="1"/>
      <w:numFmt w:val="chineseCounting"/>
      <w:suff w:val="nothing"/>
      <w:lvlText w:val="第%1章 "/>
      <w:lvlJc w:val="left"/>
      <w:pPr>
        <w:ind w:left="0" w:firstLine="402"/>
      </w:pPr>
      <w:rPr>
        <w:rFonts w:hint="eastAsia"/>
        <w:sz w:val="32"/>
        <w:szCs w:val="32"/>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2">
    <w:nsid w:val="C345A3F3"/>
    <w:multiLevelType w:val="singleLevel"/>
    <w:tmpl w:val="C345A3F3"/>
    <w:lvl w:ilvl="0" w:tentative="0">
      <w:start w:val="1"/>
      <w:numFmt w:val="chineseCounting"/>
      <w:suff w:val="nothing"/>
      <w:lvlText w:val="（%1）"/>
      <w:lvlJc w:val="left"/>
      <w:pPr>
        <w:ind w:left="0" w:firstLine="420"/>
      </w:pPr>
      <w:rPr>
        <w:rFonts w:hint="eastAsia"/>
      </w:rPr>
    </w:lvl>
  </w:abstractNum>
  <w:abstractNum w:abstractNumId="13">
    <w:nsid w:val="C47A3CFF"/>
    <w:multiLevelType w:val="singleLevel"/>
    <w:tmpl w:val="C47A3CFF"/>
    <w:lvl w:ilvl="0" w:tentative="0">
      <w:start w:val="1"/>
      <w:numFmt w:val="chineseCounting"/>
      <w:suff w:val="nothing"/>
      <w:lvlText w:val="（%1）"/>
      <w:lvlJc w:val="left"/>
      <w:pPr>
        <w:ind w:left="0" w:firstLine="420"/>
      </w:pPr>
      <w:rPr>
        <w:rFonts w:hint="eastAsia"/>
      </w:rPr>
    </w:lvl>
  </w:abstractNum>
  <w:abstractNum w:abstractNumId="14">
    <w:nsid w:val="C59102BA"/>
    <w:multiLevelType w:val="singleLevel"/>
    <w:tmpl w:val="C59102BA"/>
    <w:lvl w:ilvl="0" w:tentative="0">
      <w:start w:val="1"/>
      <w:numFmt w:val="decimal"/>
      <w:suff w:val="nothing"/>
      <w:lvlText w:val="（%1）"/>
      <w:lvlJc w:val="left"/>
      <w:pPr>
        <w:ind w:left="0" w:firstLine="480"/>
      </w:pPr>
      <w:rPr>
        <w:rFonts w:hint="default"/>
      </w:rPr>
    </w:lvl>
  </w:abstractNum>
  <w:abstractNum w:abstractNumId="15">
    <w:nsid w:val="CDA6BD10"/>
    <w:multiLevelType w:val="singleLevel"/>
    <w:tmpl w:val="CDA6BD10"/>
    <w:lvl w:ilvl="0" w:tentative="0">
      <w:start w:val="1"/>
      <w:numFmt w:val="chineseCounting"/>
      <w:suff w:val="nothing"/>
      <w:lvlText w:val="（%1）"/>
      <w:lvlJc w:val="left"/>
      <w:pPr>
        <w:ind w:left="0" w:firstLine="420"/>
      </w:pPr>
      <w:rPr>
        <w:rFonts w:hint="eastAsia"/>
      </w:rPr>
    </w:lvl>
  </w:abstractNum>
  <w:abstractNum w:abstractNumId="16">
    <w:nsid w:val="D3449C26"/>
    <w:multiLevelType w:val="multilevel"/>
    <w:tmpl w:val="D3449C26"/>
    <w:lvl w:ilvl="0" w:tentative="0">
      <w:start w:val="1"/>
      <w:numFmt w:val="chineseCounting"/>
      <w:suff w:val="nothing"/>
      <w:lvlText w:val="第%1章　"/>
      <w:lvlJc w:val="left"/>
      <w:pPr>
        <w:ind w:left="420" w:firstLine="402"/>
      </w:pPr>
      <w:rPr>
        <w:rFonts w:hint="eastAsia"/>
      </w:rPr>
    </w:lvl>
    <w:lvl w:ilvl="1" w:tentative="0">
      <w:start w:val="1"/>
      <w:numFmt w:val="chineseCounting"/>
      <w:suff w:val="nothing"/>
      <w:lvlText w:val="第%2节　"/>
      <w:lvlJc w:val="left"/>
      <w:pPr>
        <w:ind w:left="-402" w:firstLine="402"/>
      </w:pPr>
      <w:rPr>
        <w:rFonts w:hint="eastAsia"/>
      </w:rPr>
    </w:lvl>
    <w:lvl w:ilvl="2" w:tentative="0">
      <w:start w:val="1"/>
      <w:numFmt w:val="chineseCounting"/>
      <w:suff w:val="nothing"/>
      <w:lvlText w:val="第%3条　"/>
      <w:lvlJc w:val="left"/>
      <w:pPr>
        <w:ind w:left="420" w:firstLine="402"/>
      </w:pPr>
      <w:rPr>
        <w:rFonts w:hint="eastAsia"/>
      </w:rPr>
    </w:lvl>
    <w:lvl w:ilvl="3" w:tentative="0">
      <w:start w:val="1"/>
      <w:numFmt w:val="chineseCounting"/>
      <w:suff w:val="nothing"/>
      <w:lvlText w:val="（%4）"/>
      <w:lvlJc w:val="left"/>
      <w:pPr>
        <w:ind w:left="420" w:firstLine="402"/>
      </w:pPr>
      <w:rPr>
        <w:rFonts w:hint="eastAsia"/>
      </w:rPr>
    </w:lvl>
    <w:lvl w:ilvl="4" w:tentative="0">
      <w:start w:val="1"/>
      <w:numFmt w:val="decimal"/>
      <w:suff w:val="nothing"/>
      <w:lvlText w:val="%5．"/>
      <w:lvlJc w:val="left"/>
      <w:pPr>
        <w:ind w:left="420" w:firstLine="402"/>
      </w:pPr>
      <w:rPr>
        <w:rFonts w:hint="eastAsia"/>
      </w:rPr>
    </w:lvl>
    <w:lvl w:ilvl="5" w:tentative="0">
      <w:start w:val="1"/>
      <w:numFmt w:val="decimal"/>
      <w:suff w:val="nothing"/>
      <w:lvlText w:val="（%6）"/>
      <w:lvlJc w:val="left"/>
      <w:pPr>
        <w:ind w:left="420" w:firstLine="402"/>
      </w:pPr>
      <w:rPr>
        <w:rFonts w:hint="eastAsia"/>
      </w:rPr>
    </w:lvl>
    <w:lvl w:ilvl="6" w:tentative="0">
      <w:start w:val="1"/>
      <w:numFmt w:val="decimalEnclosedCircleChinese"/>
      <w:suff w:val="nothing"/>
      <w:lvlText w:val="%7 "/>
      <w:lvlJc w:val="left"/>
      <w:pPr>
        <w:ind w:left="420" w:firstLine="402"/>
      </w:pPr>
      <w:rPr>
        <w:rFonts w:hint="eastAsia"/>
      </w:rPr>
    </w:lvl>
    <w:lvl w:ilvl="7" w:tentative="0">
      <w:start w:val="1"/>
      <w:numFmt w:val="decimal"/>
      <w:suff w:val="nothing"/>
      <w:lvlText w:val="%8）"/>
      <w:lvlJc w:val="left"/>
      <w:pPr>
        <w:ind w:left="420" w:firstLine="402"/>
      </w:pPr>
      <w:rPr>
        <w:rFonts w:hint="eastAsia"/>
      </w:rPr>
    </w:lvl>
    <w:lvl w:ilvl="8" w:tentative="0">
      <w:start w:val="1"/>
      <w:numFmt w:val="lowerLetter"/>
      <w:suff w:val="nothing"/>
      <w:lvlText w:val="%9．"/>
      <w:lvlJc w:val="left"/>
      <w:pPr>
        <w:ind w:left="420" w:firstLine="402"/>
      </w:pPr>
      <w:rPr>
        <w:rFonts w:hint="eastAsia"/>
      </w:rPr>
    </w:lvl>
  </w:abstractNum>
  <w:abstractNum w:abstractNumId="17">
    <w:nsid w:val="D7A5D639"/>
    <w:multiLevelType w:val="singleLevel"/>
    <w:tmpl w:val="D7A5D639"/>
    <w:lvl w:ilvl="0" w:tentative="0">
      <w:start w:val="1"/>
      <w:numFmt w:val="chineseCounting"/>
      <w:suff w:val="nothing"/>
      <w:lvlText w:val="（%1）"/>
      <w:lvlJc w:val="left"/>
      <w:pPr>
        <w:ind w:left="0" w:firstLine="420"/>
      </w:pPr>
      <w:rPr>
        <w:rFonts w:hint="eastAsia"/>
      </w:rPr>
    </w:lvl>
  </w:abstractNum>
  <w:abstractNum w:abstractNumId="18">
    <w:nsid w:val="DB18B3EC"/>
    <w:multiLevelType w:val="singleLevel"/>
    <w:tmpl w:val="DB18B3EC"/>
    <w:lvl w:ilvl="0" w:tentative="0">
      <w:start w:val="1"/>
      <w:numFmt w:val="chineseCounting"/>
      <w:suff w:val="nothing"/>
      <w:lvlText w:val="%1、"/>
      <w:lvlJc w:val="left"/>
      <w:pPr>
        <w:ind w:left="0" w:firstLine="0"/>
      </w:pPr>
      <w:rPr>
        <w:rFonts w:hint="eastAsia"/>
      </w:rPr>
    </w:lvl>
  </w:abstractNum>
  <w:abstractNum w:abstractNumId="19">
    <w:nsid w:val="DDE0E127"/>
    <w:multiLevelType w:val="singleLevel"/>
    <w:tmpl w:val="DDE0E127"/>
    <w:lvl w:ilvl="0" w:tentative="0">
      <w:start w:val="1"/>
      <w:numFmt w:val="chineseCounting"/>
      <w:suff w:val="nothing"/>
      <w:lvlText w:val="%1、"/>
      <w:lvlJc w:val="left"/>
      <w:pPr>
        <w:ind w:left="0" w:firstLine="420"/>
      </w:pPr>
      <w:rPr>
        <w:rFonts w:hint="eastAsia"/>
      </w:rPr>
    </w:lvl>
  </w:abstractNum>
  <w:abstractNum w:abstractNumId="20">
    <w:nsid w:val="DE11AD49"/>
    <w:multiLevelType w:val="singleLevel"/>
    <w:tmpl w:val="DE11AD49"/>
    <w:lvl w:ilvl="0" w:tentative="0">
      <w:start w:val="1"/>
      <w:numFmt w:val="decimal"/>
      <w:lvlText w:val="%1."/>
      <w:lvlJc w:val="left"/>
      <w:pPr>
        <w:tabs>
          <w:tab w:val="left" w:pos="210"/>
        </w:tabs>
        <w:ind w:left="845" w:hanging="425"/>
      </w:pPr>
      <w:rPr>
        <w:rFonts w:hint="default"/>
      </w:rPr>
    </w:lvl>
  </w:abstractNum>
  <w:abstractNum w:abstractNumId="21">
    <w:nsid w:val="EEE7527D"/>
    <w:multiLevelType w:val="singleLevel"/>
    <w:tmpl w:val="EEE7527D"/>
    <w:lvl w:ilvl="0" w:tentative="0">
      <w:start w:val="1"/>
      <w:numFmt w:val="chineseCounting"/>
      <w:suff w:val="nothing"/>
      <w:lvlText w:val="%1、"/>
      <w:lvlJc w:val="left"/>
      <w:pPr>
        <w:ind w:left="0" w:firstLine="420"/>
      </w:pPr>
      <w:rPr>
        <w:rFonts w:hint="eastAsia"/>
      </w:rPr>
    </w:lvl>
  </w:abstractNum>
  <w:abstractNum w:abstractNumId="22">
    <w:nsid w:val="F88231B6"/>
    <w:multiLevelType w:val="singleLevel"/>
    <w:tmpl w:val="F88231B6"/>
    <w:lvl w:ilvl="0" w:tentative="0">
      <w:start w:val="1"/>
      <w:numFmt w:val="decimal"/>
      <w:lvlText w:val="%1."/>
      <w:lvlJc w:val="left"/>
      <w:pPr>
        <w:ind w:left="425" w:hanging="425"/>
      </w:pPr>
      <w:rPr>
        <w:rFonts w:hint="default"/>
      </w:rPr>
    </w:lvl>
  </w:abstractNum>
  <w:abstractNum w:abstractNumId="23">
    <w:nsid w:val="FAB6ED2F"/>
    <w:multiLevelType w:val="singleLevel"/>
    <w:tmpl w:val="FAB6ED2F"/>
    <w:lvl w:ilvl="0" w:tentative="0">
      <w:start w:val="1"/>
      <w:numFmt w:val="chineseCounting"/>
      <w:suff w:val="nothing"/>
      <w:lvlText w:val="%1、"/>
      <w:lvlJc w:val="left"/>
      <w:pPr>
        <w:ind w:left="0" w:firstLine="420"/>
      </w:pPr>
      <w:rPr>
        <w:rFonts w:hint="eastAsia"/>
      </w:rPr>
    </w:lvl>
  </w:abstractNum>
  <w:abstractNum w:abstractNumId="24">
    <w:nsid w:val="156FEA77"/>
    <w:multiLevelType w:val="singleLevel"/>
    <w:tmpl w:val="156FEA77"/>
    <w:lvl w:ilvl="0" w:tentative="0">
      <w:start w:val="1"/>
      <w:numFmt w:val="chineseCounting"/>
      <w:suff w:val="nothing"/>
      <w:lvlText w:val="（%1）"/>
      <w:lvlJc w:val="left"/>
      <w:pPr>
        <w:ind w:left="0" w:firstLine="420"/>
      </w:pPr>
      <w:rPr>
        <w:rFonts w:hint="eastAsia"/>
      </w:rPr>
    </w:lvl>
  </w:abstractNum>
  <w:abstractNum w:abstractNumId="25">
    <w:nsid w:val="15E56553"/>
    <w:multiLevelType w:val="singleLevel"/>
    <w:tmpl w:val="15E56553"/>
    <w:lvl w:ilvl="0" w:tentative="0">
      <w:start w:val="1"/>
      <w:numFmt w:val="chineseCounting"/>
      <w:suff w:val="nothing"/>
      <w:lvlText w:val="（%1）"/>
      <w:lvlJc w:val="left"/>
      <w:pPr>
        <w:ind w:left="0" w:firstLine="0"/>
      </w:pPr>
      <w:rPr>
        <w:rFonts w:hint="eastAsia"/>
      </w:rPr>
    </w:lvl>
  </w:abstractNum>
  <w:abstractNum w:abstractNumId="26">
    <w:nsid w:val="399E2DD3"/>
    <w:multiLevelType w:val="singleLevel"/>
    <w:tmpl w:val="399E2DD3"/>
    <w:lvl w:ilvl="0" w:tentative="0">
      <w:start w:val="1"/>
      <w:numFmt w:val="chineseCounting"/>
      <w:suff w:val="nothing"/>
      <w:lvlText w:val="%1、"/>
      <w:lvlJc w:val="left"/>
      <w:pPr>
        <w:ind w:left="0" w:firstLine="420"/>
      </w:pPr>
      <w:rPr>
        <w:rFonts w:hint="eastAsia"/>
      </w:rPr>
    </w:lvl>
  </w:abstractNum>
  <w:abstractNum w:abstractNumId="27">
    <w:nsid w:val="3D17951E"/>
    <w:multiLevelType w:val="singleLevel"/>
    <w:tmpl w:val="3D17951E"/>
    <w:lvl w:ilvl="0" w:tentative="0">
      <w:start w:val="1"/>
      <w:numFmt w:val="chineseCounting"/>
      <w:suff w:val="nothing"/>
      <w:lvlText w:val="（%1）"/>
      <w:lvlJc w:val="left"/>
      <w:pPr>
        <w:ind w:left="0" w:firstLine="420"/>
      </w:pPr>
      <w:rPr>
        <w:rFonts w:hint="eastAsia"/>
      </w:rPr>
    </w:lvl>
  </w:abstractNum>
  <w:abstractNum w:abstractNumId="28">
    <w:nsid w:val="4012B2E9"/>
    <w:multiLevelType w:val="singleLevel"/>
    <w:tmpl w:val="4012B2E9"/>
    <w:lvl w:ilvl="0" w:tentative="0">
      <w:start w:val="1"/>
      <w:numFmt w:val="chineseCounting"/>
      <w:suff w:val="nothing"/>
      <w:lvlText w:val="（%1）"/>
      <w:lvlJc w:val="left"/>
      <w:pPr>
        <w:ind w:left="0" w:firstLine="420"/>
      </w:pPr>
      <w:rPr>
        <w:rFonts w:hint="eastAsia"/>
      </w:rPr>
    </w:lvl>
  </w:abstractNum>
  <w:abstractNum w:abstractNumId="29">
    <w:nsid w:val="7068CDDD"/>
    <w:multiLevelType w:val="singleLevel"/>
    <w:tmpl w:val="7068CDDD"/>
    <w:lvl w:ilvl="0" w:tentative="0">
      <w:start w:val="1"/>
      <w:numFmt w:val="chineseCounting"/>
      <w:suff w:val="nothing"/>
      <w:lvlText w:val="%1、"/>
      <w:lvlJc w:val="left"/>
      <w:pPr>
        <w:ind w:left="0" w:firstLine="0"/>
      </w:pPr>
      <w:rPr>
        <w:rFonts w:hint="eastAsia"/>
      </w:rPr>
    </w:lvl>
  </w:abstractNum>
  <w:abstractNum w:abstractNumId="30">
    <w:nsid w:val="708C6CAC"/>
    <w:multiLevelType w:val="singleLevel"/>
    <w:tmpl w:val="708C6CAC"/>
    <w:lvl w:ilvl="0" w:tentative="0">
      <w:start w:val="1"/>
      <w:numFmt w:val="chineseCounting"/>
      <w:suff w:val="nothing"/>
      <w:lvlText w:val="（%1）"/>
      <w:lvlJc w:val="left"/>
      <w:pPr>
        <w:ind w:left="0" w:firstLine="420"/>
      </w:pPr>
      <w:rPr>
        <w:rFonts w:hint="eastAsia"/>
      </w:rPr>
    </w:lvl>
  </w:abstractNum>
  <w:abstractNum w:abstractNumId="31">
    <w:nsid w:val="77E04E8D"/>
    <w:multiLevelType w:val="singleLevel"/>
    <w:tmpl w:val="77E04E8D"/>
    <w:lvl w:ilvl="0" w:tentative="0">
      <w:start w:val="1"/>
      <w:numFmt w:val="chineseCounting"/>
      <w:suff w:val="nothing"/>
      <w:lvlText w:val="（%1）"/>
      <w:lvlJc w:val="left"/>
      <w:pPr>
        <w:ind w:left="0" w:firstLine="420"/>
      </w:pPr>
      <w:rPr>
        <w:rFonts w:hint="eastAsia"/>
      </w:rPr>
    </w:lvl>
  </w:abstractNum>
  <w:num w:numId="1">
    <w:abstractNumId w:val="11"/>
  </w:num>
  <w:num w:numId="2">
    <w:abstractNumId w:val="29"/>
  </w:num>
  <w:num w:numId="3">
    <w:abstractNumId w:val="16"/>
  </w:num>
  <w:num w:numId="4">
    <w:abstractNumId w:val="7"/>
  </w:num>
  <w:num w:numId="5">
    <w:abstractNumId w:val="5"/>
  </w:num>
  <w:num w:numId="6">
    <w:abstractNumId w:val="28"/>
  </w:num>
  <w:num w:numId="7">
    <w:abstractNumId w:val="20"/>
  </w:num>
  <w:num w:numId="8">
    <w:abstractNumId w:val="26"/>
  </w:num>
  <w:num w:numId="9">
    <w:abstractNumId w:val="31"/>
  </w:num>
  <w:num w:numId="10">
    <w:abstractNumId w:val="6"/>
  </w:num>
  <w:num w:numId="11">
    <w:abstractNumId w:val="2"/>
  </w:num>
  <w:num w:numId="12">
    <w:abstractNumId w:val="4"/>
  </w:num>
  <w:num w:numId="13">
    <w:abstractNumId w:val="0"/>
  </w:num>
  <w:num w:numId="14">
    <w:abstractNumId w:val="8"/>
  </w:num>
  <w:num w:numId="15">
    <w:abstractNumId w:val="19"/>
  </w:num>
  <w:num w:numId="16">
    <w:abstractNumId w:val="30"/>
  </w:num>
  <w:num w:numId="17">
    <w:abstractNumId w:val="17"/>
  </w:num>
  <w:num w:numId="18">
    <w:abstractNumId w:val="13"/>
  </w:num>
  <w:num w:numId="19">
    <w:abstractNumId w:val="3"/>
  </w:num>
  <w:num w:numId="20">
    <w:abstractNumId w:val="21"/>
  </w:num>
  <w:num w:numId="21">
    <w:abstractNumId w:val="15"/>
  </w:num>
  <w:num w:numId="22">
    <w:abstractNumId w:val="10"/>
  </w:num>
  <w:num w:numId="23">
    <w:abstractNumId w:val="23"/>
  </w:num>
  <w:num w:numId="24">
    <w:abstractNumId w:val="1"/>
  </w:num>
  <w:num w:numId="25">
    <w:abstractNumId w:val="14"/>
  </w:num>
  <w:num w:numId="26">
    <w:abstractNumId w:val="18"/>
  </w:num>
  <w:num w:numId="27">
    <w:abstractNumId w:val="9"/>
  </w:num>
  <w:num w:numId="28">
    <w:abstractNumId w:val="25"/>
  </w:num>
  <w:num w:numId="29">
    <w:abstractNumId w:val="27"/>
  </w:num>
  <w:num w:numId="30">
    <w:abstractNumId w:val="12"/>
  </w:num>
  <w:num w:numId="31">
    <w:abstractNumId w:val="24"/>
  </w:num>
  <w:num w:numId="3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2ABD"/>
    <w:rsid w:val="00007091"/>
    <w:rsid w:val="00130348"/>
    <w:rsid w:val="002B7E7F"/>
    <w:rsid w:val="003B1245"/>
    <w:rsid w:val="00441793"/>
    <w:rsid w:val="00526B91"/>
    <w:rsid w:val="00540067"/>
    <w:rsid w:val="00570D6C"/>
    <w:rsid w:val="005E4482"/>
    <w:rsid w:val="00670AB5"/>
    <w:rsid w:val="007832DF"/>
    <w:rsid w:val="00886B9B"/>
    <w:rsid w:val="009520AA"/>
    <w:rsid w:val="009E041E"/>
    <w:rsid w:val="00A56546"/>
    <w:rsid w:val="00B134D1"/>
    <w:rsid w:val="00B2438B"/>
    <w:rsid w:val="00C917E1"/>
    <w:rsid w:val="00CF4569"/>
    <w:rsid w:val="00DC4320"/>
    <w:rsid w:val="00F01E71"/>
    <w:rsid w:val="00FA2ABD"/>
    <w:rsid w:val="00FC0BF1"/>
    <w:rsid w:val="012A5B52"/>
    <w:rsid w:val="029525CA"/>
    <w:rsid w:val="02E96621"/>
    <w:rsid w:val="04A0130D"/>
    <w:rsid w:val="05821333"/>
    <w:rsid w:val="07A068A1"/>
    <w:rsid w:val="09175C96"/>
    <w:rsid w:val="0B077F8D"/>
    <w:rsid w:val="0B446AEB"/>
    <w:rsid w:val="0C1069CD"/>
    <w:rsid w:val="0C9D2956"/>
    <w:rsid w:val="0D7336B7"/>
    <w:rsid w:val="0D9773A6"/>
    <w:rsid w:val="0DED7DC2"/>
    <w:rsid w:val="0F116835"/>
    <w:rsid w:val="116C70D4"/>
    <w:rsid w:val="12ED6598"/>
    <w:rsid w:val="12F71B5D"/>
    <w:rsid w:val="164D719B"/>
    <w:rsid w:val="16A02523"/>
    <w:rsid w:val="19792055"/>
    <w:rsid w:val="1A89276C"/>
    <w:rsid w:val="1CCA7AFE"/>
    <w:rsid w:val="1FED72F9"/>
    <w:rsid w:val="210E5779"/>
    <w:rsid w:val="232974BA"/>
    <w:rsid w:val="2492046F"/>
    <w:rsid w:val="24FC68BD"/>
    <w:rsid w:val="25551BC9"/>
    <w:rsid w:val="26D258EE"/>
    <w:rsid w:val="28B66659"/>
    <w:rsid w:val="2A377AEF"/>
    <w:rsid w:val="2A7A1294"/>
    <w:rsid w:val="2A9767DF"/>
    <w:rsid w:val="2AF552B4"/>
    <w:rsid w:val="2E5A1FFE"/>
    <w:rsid w:val="2E6609A2"/>
    <w:rsid w:val="2EBD258D"/>
    <w:rsid w:val="2F0106CB"/>
    <w:rsid w:val="2F376338"/>
    <w:rsid w:val="2F665AA2"/>
    <w:rsid w:val="30A457B2"/>
    <w:rsid w:val="31172428"/>
    <w:rsid w:val="31436D79"/>
    <w:rsid w:val="32F10A57"/>
    <w:rsid w:val="33705E1F"/>
    <w:rsid w:val="33E81E5A"/>
    <w:rsid w:val="37873738"/>
    <w:rsid w:val="39967482"/>
    <w:rsid w:val="3B5D137F"/>
    <w:rsid w:val="3E8E35FE"/>
    <w:rsid w:val="3F3D5750"/>
    <w:rsid w:val="3F4A5777"/>
    <w:rsid w:val="3FA27361"/>
    <w:rsid w:val="4050500F"/>
    <w:rsid w:val="40E43586"/>
    <w:rsid w:val="412827E7"/>
    <w:rsid w:val="413761CE"/>
    <w:rsid w:val="41412BA9"/>
    <w:rsid w:val="42861C63"/>
    <w:rsid w:val="42A81132"/>
    <w:rsid w:val="42CB3072"/>
    <w:rsid w:val="42FA5706"/>
    <w:rsid w:val="43EE526A"/>
    <w:rsid w:val="44801C3A"/>
    <w:rsid w:val="46CE645F"/>
    <w:rsid w:val="46F661E4"/>
    <w:rsid w:val="471054F8"/>
    <w:rsid w:val="477474B8"/>
    <w:rsid w:val="47807AD5"/>
    <w:rsid w:val="483E083F"/>
    <w:rsid w:val="4AAF226D"/>
    <w:rsid w:val="4B58121B"/>
    <w:rsid w:val="4B7E556C"/>
    <w:rsid w:val="4BD406D3"/>
    <w:rsid w:val="4BEC1D1F"/>
    <w:rsid w:val="4DE1199C"/>
    <w:rsid w:val="4E265601"/>
    <w:rsid w:val="4E5730F8"/>
    <w:rsid w:val="4EA12ED9"/>
    <w:rsid w:val="50B2790E"/>
    <w:rsid w:val="510F5001"/>
    <w:rsid w:val="51A030B0"/>
    <w:rsid w:val="51C26ED5"/>
    <w:rsid w:val="52A86F2C"/>
    <w:rsid w:val="52C11487"/>
    <w:rsid w:val="530E3233"/>
    <w:rsid w:val="53B46BCB"/>
    <w:rsid w:val="55A439DB"/>
    <w:rsid w:val="56B04601"/>
    <w:rsid w:val="581D7A74"/>
    <w:rsid w:val="58245DB2"/>
    <w:rsid w:val="58E06213"/>
    <w:rsid w:val="58EE731B"/>
    <w:rsid w:val="593E5EF4"/>
    <w:rsid w:val="59BB7545"/>
    <w:rsid w:val="59DD570D"/>
    <w:rsid w:val="5A4E03B9"/>
    <w:rsid w:val="5AF04DCA"/>
    <w:rsid w:val="5C1E5B4F"/>
    <w:rsid w:val="5CD209C4"/>
    <w:rsid w:val="5CE15514"/>
    <w:rsid w:val="5D0B2591"/>
    <w:rsid w:val="5D3E2967"/>
    <w:rsid w:val="5FD70E51"/>
    <w:rsid w:val="61573193"/>
    <w:rsid w:val="61925788"/>
    <w:rsid w:val="61F604E3"/>
    <w:rsid w:val="622D2FAA"/>
    <w:rsid w:val="63304B00"/>
    <w:rsid w:val="635B1747"/>
    <w:rsid w:val="638E6BAF"/>
    <w:rsid w:val="63C56BE9"/>
    <w:rsid w:val="64CC0858"/>
    <w:rsid w:val="65901886"/>
    <w:rsid w:val="65FC33BF"/>
    <w:rsid w:val="662841B4"/>
    <w:rsid w:val="677B6565"/>
    <w:rsid w:val="67B51A77"/>
    <w:rsid w:val="681C712A"/>
    <w:rsid w:val="68AE414D"/>
    <w:rsid w:val="69146702"/>
    <w:rsid w:val="6A9242F2"/>
    <w:rsid w:val="6AB9243B"/>
    <w:rsid w:val="6CFE3E12"/>
    <w:rsid w:val="6D301233"/>
    <w:rsid w:val="6EC802E2"/>
    <w:rsid w:val="6FFE7D34"/>
    <w:rsid w:val="72964253"/>
    <w:rsid w:val="732A47BE"/>
    <w:rsid w:val="734824D7"/>
    <w:rsid w:val="75804EB0"/>
    <w:rsid w:val="75874327"/>
    <w:rsid w:val="79525D3E"/>
    <w:rsid w:val="7984703D"/>
    <w:rsid w:val="79C97604"/>
    <w:rsid w:val="79D762D8"/>
    <w:rsid w:val="7A090AA7"/>
    <w:rsid w:val="7AB60C9B"/>
    <w:rsid w:val="7CE95FD4"/>
    <w:rsid w:val="7D702478"/>
    <w:rsid w:val="7DEC595F"/>
    <w:rsid w:val="7E926217"/>
    <w:rsid w:val="7F0A3F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widowControl w:val="0"/>
      <w:spacing w:before="240" w:after="120" w:line="360" w:lineRule="auto"/>
      <w:outlineLvl w:val="0"/>
    </w:pPr>
    <w:rPr>
      <w:rFonts w:ascii="宋体" w:hAnsi="宋体" w:eastAsia="宋体" w:cs="宋体"/>
      <w:b/>
      <w:bCs/>
      <w:kern w:val="44"/>
      <w:sz w:val="24"/>
      <w:szCs w:val="30"/>
      <w:lang w:val="en-US" w:eastAsia="zh-CN" w:bidi="ar-SA"/>
    </w:rPr>
  </w:style>
  <w:style w:type="paragraph" w:styleId="3">
    <w:name w:val="heading 2"/>
    <w:next w:val="1"/>
    <w:unhideWhenUsed/>
    <w:qFormat/>
    <w:uiPriority w:val="0"/>
    <w:pPr>
      <w:widowControl w:val="0"/>
      <w:spacing w:after="120" w:line="360" w:lineRule="auto"/>
      <w:outlineLvl w:val="1"/>
    </w:pPr>
    <w:rPr>
      <w:rFonts w:ascii="Times New Roman" w:hAnsi="Times New Roman" w:eastAsia="宋体" w:cs="Times New Roman"/>
      <w:b/>
      <w:sz w:val="24"/>
      <w:lang w:val="en-US" w:eastAsia="zh-CN" w:bidi="ar-SA"/>
    </w:rPr>
  </w:style>
  <w:style w:type="paragraph" w:styleId="4">
    <w:name w:val="heading 3"/>
    <w:next w:val="1"/>
    <w:unhideWhenUsed/>
    <w:qFormat/>
    <w:uiPriority w:val="0"/>
    <w:pPr>
      <w:widowControl w:val="0"/>
      <w:spacing w:after="120" w:line="360" w:lineRule="auto"/>
      <w:outlineLvl w:val="2"/>
    </w:pPr>
    <w:rPr>
      <w:rFonts w:ascii="Times New Roman" w:hAnsi="Times New Roman" w:eastAsia="宋体" w:cs="Times New Roman"/>
      <w:b/>
      <w:sz w:val="24"/>
      <w:lang w:val="en-US" w:eastAsia="zh-CN" w:bidi="ar-SA"/>
    </w:rPr>
  </w:style>
  <w:style w:type="paragraph" w:styleId="5">
    <w:name w:val="heading 4"/>
    <w:next w:val="1"/>
    <w:semiHidden/>
    <w:unhideWhenUsed/>
    <w:qFormat/>
    <w:uiPriority w:val="0"/>
    <w:pPr>
      <w:widowControl w:val="0"/>
      <w:spacing w:after="120" w:line="360" w:lineRule="auto"/>
      <w:outlineLvl w:val="3"/>
    </w:pPr>
    <w:rPr>
      <w:rFonts w:ascii="Times New Roman" w:hAnsi="Times New Roman" w:eastAsia="宋体" w:cs="Times New Roman"/>
      <w:sz w:val="24"/>
      <w:lang w:val="en-US" w:eastAsia="zh-CN" w:bidi="ar-SA"/>
    </w:rPr>
  </w:style>
  <w:style w:type="paragraph" w:styleId="6">
    <w:name w:val="heading 5"/>
    <w:next w:val="1"/>
    <w:semiHidden/>
    <w:unhideWhenUsed/>
    <w:qFormat/>
    <w:uiPriority w:val="0"/>
    <w:pPr>
      <w:widowControl w:val="0"/>
      <w:spacing w:after="120" w:line="440" w:lineRule="exact"/>
      <w:outlineLvl w:val="4"/>
    </w:pPr>
    <w:rPr>
      <w:rFonts w:ascii="Times New Roman" w:hAnsi="Times New Roman" w:eastAsia="宋体" w:cs="Times New Roman"/>
      <w:sz w:val="24"/>
      <w:lang w:val="en-US" w:eastAsia="zh-CN" w:bidi="ar-SA"/>
    </w:rPr>
  </w:style>
  <w:style w:type="paragraph" w:styleId="7">
    <w:name w:val="heading 6"/>
    <w:next w:val="1"/>
    <w:semiHidden/>
    <w:unhideWhenUsed/>
    <w:qFormat/>
    <w:uiPriority w:val="0"/>
    <w:pPr>
      <w:widowControl w:val="0"/>
      <w:spacing w:after="120" w:line="360" w:lineRule="auto"/>
      <w:outlineLvl w:val="5"/>
    </w:pPr>
    <w:rPr>
      <w:rFonts w:ascii="Times New Roman" w:hAnsi="Times New Roman" w:eastAsia="宋体" w:cs="Times New Roman"/>
      <w:sz w:val="24"/>
      <w:lang w:val="en-US" w:eastAsia="zh-CN" w:bidi="ar-SA"/>
    </w:rPr>
  </w:style>
  <w:style w:type="paragraph" w:styleId="8">
    <w:name w:val="heading 7"/>
    <w:next w:val="1"/>
    <w:semiHidden/>
    <w:unhideWhenUsed/>
    <w:qFormat/>
    <w:uiPriority w:val="0"/>
    <w:pPr>
      <w:widowControl w:val="0"/>
      <w:spacing w:after="120" w:line="360" w:lineRule="auto"/>
      <w:outlineLvl w:val="6"/>
    </w:pPr>
    <w:rPr>
      <w:rFonts w:ascii="Times New Roman" w:hAnsi="Times New Roman" w:eastAsia="宋体" w:cs="Times New Roman"/>
      <w:sz w:val="24"/>
      <w:lang w:val="en-US" w:eastAsia="zh-CN" w:bidi="ar-SA"/>
    </w:rPr>
  </w:style>
  <w:style w:type="paragraph" w:styleId="9">
    <w:name w:val="heading 8"/>
    <w:next w:val="1"/>
    <w:semiHidden/>
    <w:unhideWhenUsed/>
    <w:qFormat/>
    <w:uiPriority w:val="0"/>
    <w:pPr>
      <w:widowControl w:val="0"/>
      <w:spacing w:after="120" w:line="360" w:lineRule="auto"/>
      <w:outlineLvl w:val="7"/>
    </w:pPr>
    <w:rPr>
      <w:rFonts w:ascii="Times New Roman" w:hAnsi="Times New Roman" w:eastAsia="宋体" w:cs="Times New Roman"/>
      <w:sz w:val="24"/>
      <w:lang w:val="en-US" w:eastAsia="zh-CN" w:bidi="ar-SA"/>
    </w:rPr>
  </w:style>
  <w:style w:type="paragraph" w:styleId="10">
    <w:name w:val="heading 9"/>
    <w:next w:val="1"/>
    <w:semiHidden/>
    <w:unhideWhenUsed/>
    <w:qFormat/>
    <w:uiPriority w:val="0"/>
    <w:pPr>
      <w:widowControl w:val="0"/>
      <w:spacing w:after="120" w:line="360" w:lineRule="auto"/>
      <w:outlineLvl w:val="8"/>
    </w:pPr>
    <w:rPr>
      <w:rFonts w:ascii="Times New Roman" w:hAnsi="Times New Roman" w:eastAsia="宋体" w:cs="Times New Roman"/>
      <w:sz w:val="24"/>
      <w:lang w:val="en-US" w:eastAsia="zh-CN" w:bidi="ar-SA"/>
    </w:rPr>
  </w:style>
  <w:style w:type="character" w:default="1" w:styleId="19">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1">
    <w:name w:val="Body Text"/>
    <w:qFormat/>
    <w:uiPriority w:val="0"/>
    <w:pPr>
      <w:widowControl w:val="0"/>
      <w:spacing w:after="120" w:line="360" w:lineRule="auto"/>
      <w:ind w:firstLine="420" w:firstLineChars="200"/>
    </w:pPr>
    <w:rPr>
      <w:rFonts w:ascii="Times New Roman" w:hAnsi="Times New Roman" w:eastAsia="宋体" w:cs="Times New Roman"/>
      <w:sz w:val="24"/>
      <w:lang w:val="en-US" w:eastAsia="zh-CN" w:bidi="ar-SA"/>
    </w:rPr>
  </w:style>
  <w:style w:type="paragraph" w:styleId="12">
    <w:name w:val="Plain Text"/>
    <w:basedOn w:val="1"/>
    <w:qFormat/>
    <w:uiPriority w:val="0"/>
    <w:rPr>
      <w:rFonts w:hAnsi="Courier New"/>
    </w:rPr>
  </w:style>
  <w:style w:type="paragraph" w:styleId="13">
    <w:name w:val="footer"/>
    <w:basedOn w:val="1"/>
    <w:qFormat/>
    <w:uiPriority w:val="0"/>
    <w:pPr>
      <w:tabs>
        <w:tab w:val="center" w:pos="4153"/>
        <w:tab w:val="right" w:pos="8306"/>
      </w:tabs>
      <w:snapToGrid w:val="0"/>
    </w:pPr>
    <w:rPr>
      <w:sz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toc 1"/>
    <w:basedOn w:val="1"/>
    <w:next w:val="1"/>
    <w:qFormat/>
    <w:uiPriority w:val="1"/>
    <w:pPr>
      <w:spacing w:line="272" w:lineRule="exact"/>
      <w:ind w:left="100"/>
    </w:pPr>
    <w:rPr>
      <w:szCs w:val="21"/>
    </w:rPr>
  </w:style>
  <w:style w:type="paragraph" w:styleId="16">
    <w:name w:val="Subtitle"/>
    <w:qFormat/>
    <w:uiPriority w:val="0"/>
    <w:pPr>
      <w:widowControl w:val="0"/>
      <w:spacing w:after="240"/>
      <w:jc w:val="center"/>
    </w:pPr>
    <w:rPr>
      <w:rFonts w:ascii="Times New Roman" w:hAnsi="Times New Roman" w:eastAsia="宋体" w:cs="Times New Roman"/>
      <w:kern w:val="28"/>
      <w:sz w:val="21"/>
      <w:lang w:val="en-US" w:eastAsia="zh-CN" w:bidi="ar-SA"/>
    </w:rPr>
  </w:style>
  <w:style w:type="paragraph" w:styleId="17">
    <w:name w:val="Title"/>
    <w:qFormat/>
    <w:uiPriority w:val="0"/>
    <w:pPr>
      <w:spacing w:before="240" w:after="240"/>
      <w:jc w:val="center"/>
    </w:pPr>
    <w:rPr>
      <w:rFonts w:ascii="Times New Roman" w:hAnsi="Times New Roman" w:eastAsia="宋体" w:cs="Times New Roman"/>
      <w:b/>
      <w:sz w:val="32"/>
      <w:lang w:val="en-US" w:eastAsia="zh-CN" w:bidi="ar-SA"/>
    </w:rPr>
  </w:style>
  <w:style w:type="character" w:styleId="20">
    <w:name w:val="Strong"/>
    <w:basedOn w:val="19"/>
    <w:qFormat/>
    <w:uiPriority w:val="0"/>
    <w:rPr>
      <w:b/>
    </w:rPr>
  </w:style>
  <w:style w:type="paragraph" w:customStyle="1" w:styleId="21">
    <w:name w:val="附录标题"/>
    <w:next w:val="1"/>
    <w:qFormat/>
    <w:uiPriority w:val="0"/>
    <w:pPr>
      <w:widowControl w:val="0"/>
      <w:spacing w:after="240"/>
      <w:outlineLvl w:val="0"/>
    </w:pPr>
    <w:rPr>
      <w:rFonts w:ascii="Times New Roman" w:hAnsi="Times New Roman" w:eastAsia="宋体" w:cs="Times New Roman"/>
      <w:b/>
      <w:sz w:val="24"/>
      <w:lang w:val="en-US" w:eastAsia="zh-CN" w:bidi="ar-SA"/>
    </w:rPr>
  </w:style>
  <w:style w:type="paragraph" w:customStyle="1" w:styleId="22">
    <w:name w:val="章前标题"/>
    <w:next w:val="1"/>
    <w:qFormat/>
    <w:uiPriority w:val="0"/>
    <w:pPr>
      <w:widowControl w:val="0"/>
      <w:spacing w:before="240" w:after="240"/>
      <w:jc w:val="center"/>
    </w:pPr>
    <w:rPr>
      <w:rFonts w:ascii="黑体" w:hAnsi="黑体" w:eastAsia="黑体" w:cs="黑体"/>
      <w:kern w:val="44"/>
      <w:sz w:val="32"/>
      <w:szCs w:val="36"/>
      <w:lang w:val="en-US" w:eastAsia="zh-CN" w:bidi="ar-SA"/>
    </w:rPr>
  </w:style>
  <w:style w:type="paragraph" w:customStyle="1" w:styleId="23">
    <w:name w:val="章节标题"/>
    <w:next w:val="1"/>
    <w:qFormat/>
    <w:uiPriority w:val="0"/>
    <w:pPr>
      <w:widowControl w:val="0"/>
      <w:spacing w:before="240" w:after="240"/>
      <w:jc w:val="center"/>
      <w:outlineLvl w:val="0"/>
    </w:pPr>
    <w:rPr>
      <w:rFonts w:ascii="Times New Roman" w:hAnsi="Times New Roman" w:eastAsia="黑体" w:cs="Times New Roman"/>
      <w:kern w:val="44"/>
      <w:sz w:val="32"/>
      <w:szCs w:val="36"/>
      <w:lang w:val="en-US" w:eastAsia="zh-CN" w:bidi="ar-SA"/>
    </w:rPr>
  </w:style>
  <w:style w:type="paragraph" w:customStyle="1" w:styleId="24">
    <w:name w:val="内嵌文档标题1"/>
    <w:next w:val="1"/>
    <w:qFormat/>
    <w:uiPriority w:val="0"/>
    <w:pPr>
      <w:widowControl w:val="0"/>
      <w:spacing w:before="240" w:after="240" w:line="360" w:lineRule="auto"/>
      <w:jc w:val="center"/>
      <w:outlineLvl w:val="0"/>
    </w:pPr>
    <w:rPr>
      <w:rFonts w:ascii="Times New Roman" w:hAnsi="Times New Roman" w:eastAsia="宋体" w:cs="Times New Roman"/>
      <w:b/>
      <w:kern w:val="2"/>
      <w:sz w:val="24"/>
      <w:lang w:val="en-US" w:eastAsia="zh-CN" w:bidi="ar-SA"/>
    </w:rPr>
  </w:style>
  <w:style w:type="paragraph" w:customStyle="1" w:styleId="25">
    <w:name w:val="Body text|1"/>
    <w:basedOn w:val="1"/>
    <w:qFormat/>
    <w:uiPriority w:val="0"/>
    <w:pPr>
      <w:spacing w:after="200" w:line="456" w:lineRule="auto"/>
      <w:ind w:firstLine="400"/>
    </w:pPr>
    <w:rPr>
      <w:rFonts w:ascii="宋体" w:hAnsi="宋体" w:eastAsia="宋体" w:cs="宋体"/>
      <w:sz w:val="26"/>
      <w:szCs w:val="26"/>
      <w:lang w:val="zh-TW" w:eastAsia="zh-TW" w:bidi="zh-TW"/>
    </w:rPr>
  </w:style>
  <w:style w:type="paragraph" w:customStyle="1" w:styleId="26">
    <w:name w:val="Table Paragraph"/>
    <w:basedOn w:val="1"/>
    <w:autoRedefine/>
    <w:qFormat/>
    <w:uiPriority w:val="1"/>
    <w:pPr>
      <w:wordWrap w:val="0"/>
    </w:pPr>
    <w:rPr>
      <w:color w:val="000000" w:themeColor="text1"/>
      <w:szCs w:val="21"/>
      <w14:textFill>
        <w14:solidFill>
          <w14:schemeClr w14:val="tx1"/>
        </w14:solidFill>
      </w14:textFill>
    </w:rPr>
  </w:style>
  <w:style w:type="paragraph" w:styleId="27">
    <w:name w:val="List Paragraph"/>
    <w:basedOn w:val="1"/>
    <w:autoRedefine/>
    <w:qFormat/>
    <w:uiPriority w:val="34"/>
  </w:style>
  <w:style w:type="paragraph" w:customStyle="1" w:styleId="28">
    <w:name w:val="Table Text"/>
    <w:basedOn w:val="1"/>
    <w:semiHidden/>
    <w:qFormat/>
    <w:uiPriority w:val="0"/>
    <w:rPr>
      <w:rFonts w:ascii="宋体" w:hAnsi="宋体" w:eastAsia="宋体" w:cs="宋体"/>
      <w:sz w:val="24"/>
      <w:lang w:eastAsia="en-US"/>
    </w:rPr>
  </w:style>
  <w:style w:type="table" w:customStyle="1" w:styleId="29">
    <w:name w:val="Table Normal"/>
    <w:semiHidden/>
    <w:unhideWhenUsed/>
    <w:qFormat/>
    <w:uiPriority w:val="0"/>
    <w:tblPr>
      <w:tblCellMar>
        <w:top w:w="0" w:type="dxa"/>
        <w:left w:w="0" w:type="dxa"/>
        <w:bottom w:w="0" w:type="dxa"/>
        <w:right w:w="0" w:type="dxa"/>
      </w:tblCellMar>
    </w:tblPr>
  </w:style>
  <w:style w:type="paragraph" w:customStyle="1" w:styleId="30">
    <w:name w:val="Heading #2|1"/>
    <w:basedOn w:val="1"/>
    <w:qFormat/>
    <w:uiPriority w:val="0"/>
    <w:pPr>
      <w:spacing w:before="140" w:after="580"/>
      <w:ind w:left="3340"/>
      <w:outlineLvl w:val="1"/>
    </w:pPr>
    <w:rPr>
      <w:rFonts w:ascii="宋体" w:hAnsi="宋体" w:eastAsia="宋体" w:cs="宋体"/>
      <w:sz w:val="34"/>
      <w:szCs w:val="34"/>
      <w:lang w:val="zh-TW" w:eastAsia="zh-TW" w:bidi="zh-TW"/>
    </w:rPr>
  </w:style>
  <w:style w:type="paragraph" w:customStyle="1" w:styleId="31">
    <w:name w:val="Body text|3"/>
    <w:basedOn w:val="1"/>
    <w:qFormat/>
    <w:uiPriority w:val="0"/>
    <w:pPr>
      <w:spacing w:after="140"/>
    </w:pPr>
    <w:rPr>
      <w:rFonts w:ascii="宋体" w:hAnsi="宋体" w:eastAsia="宋体" w:cs="宋体"/>
      <w:sz w:val="30"/>
      <w:szCs w:val="30"/>
      <w:u w:val="single"/>
      <w:lang w:val="zh-TW" w:eastAsia="zh-TW" w:bidi="zh-TW"/>
    </w:rPr>
  </w:style>
  <w:style w:type="paragraph" w:customStyle="1" w:styleId="32">
    <w:name w:val="内嵌文档标题2"/>
    <w:next w:val="1"/>
    <w:qFormat/>
    <w:uiPriority w:val="0"/>
    <w:pPr>
      <w:widowControl w:val="0"/>
      <w:shd w:val="clear" w:color="auto" w:fill="FFFFFF"/>
      <w:spacing w:before="240" w:after="240" w:line="360" w:lineRule="auto"/>
      <w:jc w:val="center"/>
      <w:outlineLvl w:val="0"/>
    </w:pPr>
    <w:rPr>
      <w:rFonts w:ascii="宋体" w:hAnsi="宋体" w:eastAsia="宋体" w:cs="宋体"/>
      <w:b/>
      <w:bCs/>
      <w:sz w:val="24"/>
      <w:szCs w:val="30"/>
      <w:lang w:val="en-US" w:eastAsia="zh-CN" w:bidi="ar-SA"/>
    </w:rPr>
  </w:style>
  <w:style w:type="character" w:customStyle="1" w:styleId="33">
    <w:name w:val="font01"/>
    <w:basedOn w:val="19"/>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614f75e3-3b56-41c4-aa45-c81487f07616</errorID>
      <errorWord>《政府采购法》</errorWord>
      <group>L1_Word</group>
      <groupName>字词问题</groupName>
      <ability>L2_Typo</ability>
      <abilityName>字词错误</abilityName>
      <candidateList>
        <item>《中华人民共和国政府采购法》</item>
      </candidateList>
      <explain/>
      <paraID>2A10DC7B</paraID>
      <start>5</start>
      <end>19</end>
      <status>modified</status>
      <modifiedWord>《中华人民共和国政府采购法》</modifiedWord>
      <trackRevisions>false</trackRevisions>
    </reviewItem>
    <reviewItem>
      <errorID>b2387ed1-a719-40c4-8003-9c1516388001</errorID>
      <errorWord>政府采购法实施条例</errorWord>
      <group>L1_Knowledge</group>
      <groupName>知识性问题</groupName>
      <ability>L2_Knowledge</ability>
      <abilityName>其他知识</abilityName>
      <candidateList>
        <item>中华人民共和国政府采购法实施条例</item>
      </candidateList>
      <explain>当前法律法规名称使用简称，请注意是否应当使用全称。</explain>
      <paraID>2A10DC7B</paraID>
      <start>20</start>
      <end>36</end>
      <status>modified</status>
      <modifiedWord>中华人民共和国政府采购法实施条例</modifiedWord>
      <trackRevisions>false</trackRevisions>
    </reviewItem>
    <reviewItem>
      <errorID>2cf6b1c0-38e5-4c6f-9394-098b088caf9a</errorID>
      <errorWord>日至2026年</errorWord>
      <group>L1_Word</group>
      <groupName>字词问题</groupName>
      <ability>L2_Typo</ability>
      <abilityName>字词错误</abilityName>
      <candidateList>
        <item>日起至2026年</item>
      </candidateList>
      <explain/>
      <paraID>39714F62</paraID>
      <start>13</start>
      <end>20</end>
      <status>ignored</status>
      <modifiedWord/>
      <trackRevisions>false</trackRevisions>
    </reviewItem>
    <reviewItem>
      <errorID>2e476d62-a9ae-4a4d-a859-74d824461ac3</errorID>
      <errorWord>；</errorWord>
      <group>L1_Word</group>
      <groupName>字词问题</groupName>
      <ability>L2_Typo</ability>
      <abilityName>字词错误</abilityName>
      <candidateList>
        <item>；对</item>
      </candidateList>
      <explain/>
      <paraID>116627DE</paraID>
      <start>30</start>
      <end>32</end>
      <status>modified</status>
      <modifiedWord>；对</modifiedWord>
      <trackRevisions>false</trackRevisions>
    </reviewItem>
    <reviewItem>
      <errorID>02824238-b106-4676-aa0a-54ca7d131cea</errorID>
      <errorWord>；</errorWord>
      <group>L1_Word</group>
      <groupName>字词问题</groupName>
      <ability>L2_Typo</ability>
      <abilityName>字词错误</abilityName>
      <candidateList>
        <item>；对</item>
      </candidateList>
      <explain/>
      <paraID>3E46BC8B</paraID>
      <start>43</start>
      <end>45</end>
      <status>modified</status>
      <modifiedWord>；对</modifiedWord>
      <trackRevisions>false</trackRevisions>
    </reviewItem>
    <reviewItem>
      <errorID>189f337d-dd6a-43c2-9503-b072b3533a0c</errorID>
      <errorWord>、等</errorWord>
      <group>L1_Punc</group>
      <groupName>标点问题</groupName>
      <ability>L2_Punc_CN</ability>
      <abilityName>标点符号问题</abilityName>
      <candidateList>
        <item>等</item>
      </candidateList>
      <explain>“及”“和”“等”连词前不宜使用顿号，建议删除（或使用逗号）。</explain>
      <paraID>6D3BFEA5</paraID>
      <start>104</start>
      <end>105</end>
      <status>modified</status>
      <modifiedWord>等</modifiedWord>
      <trackRevisions>false</trackRevisions>
    </reviewItem>
    <reviewItem>
      <errorID>752b998f-36ff-4ee0-b135-5346cf5019e0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6CC06828</paraID>
      <start>104</start>
      <end>105</end>
      <status>modified</status>
      <modifiedWord>—</modifiedWord>
      <trackRevisions>false</trackRevisions>
    </reviewItem>
    <reviewItem>
      <errorID>4346878b-ade3-4015-bbcb-a78c17b8ba97</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6CC06828</paraID>
      <start>111</start>
      <end>112</end>
      <status>modified</status>
      <modifiedWord>—</modifiedWord>
      <trackRevisions>false</trackRevisions>
    </reviewItem>
    <reviewItem>
      <errorID>40ced07e-93ba-423e-892d-1e046a23afe5</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10BACC14</paraID>
      <start>164</start>
      <end>165</end>
      <status>modified</status>
      <modifiedWord>—</modifiedWord>
      <trackRevisions>false</trackRevisions>
    </reviewItem>
    <reviewItem>
      <errorID>a4e5c9aa-ab90-4b0d-a6c2-80be1aa191e3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10BACC14</paraID>
      <start>171</start>
      <end>172</end>
      <status>modified</status>
      <modifiedWord>—</modifiedWord>
      <trackRevisions>false</trackRevisions>
    </reviewItem>
    <reviewItem>
      <errorID>fec99804-2e25-47b5-94a9-ec5968f98600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116B2691</paraID>
      <start>115</start>
      <end>116</end>
      <status>modified</status>
      <modifiedWord>—</modifiedWord>
      <trackRevisions>false</trackRevisions>
    </reviewItem>
    <reviewItem>
      <errorID>1335a233-1a95-4e6b-a1f0-73517d20517a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116B2691</paraID>
      <start>122</start>
      <end>123</end>
      <status>modified</status>
      <modifiedWord>—</modifiedWord>
      <trackRevisions>false</trackRevisions>
    </reviewItem>
    <reviewItem>
      <errorID>59e31959-c628-41c5-a1eb-b7727ddc7b5d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1DE746F3</paraID>
      <start>158</start>
      <end>159</end>
      <status>modified</status>
      <modifiedWord>—</modifiedWord>
      <trackRevisions>false</trackRevisions>
    </reviewItem>
    <reviewItem>
      <errorID>af94cfd7-9c75-4a64-9b9e-3da2fe7dbb31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1DE746F3</paraID>
      <start>165</start>
      <end>166</end>
      <status>modified</status>
      <modifiedWord>—</modifiedWord>
      <trackRevisions>false</trackRevisions>
    </reviewItem>
    <reviewItem>
      <errorID>c0b70b44-9241-48a2-be78-a878710ad53d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6BFB995F</paraID>
      <start>128</start>
      <end>129</end>
      <status>modified</status>
      <modifiedWord>—</modifiedWord>
      <trackRevisions>false</trackRevisions>
    </reviewItem>
    <reviewItem>
      <errorID>38163edc-7383-43c6-badc-9bb98c6c0443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6BFB995F</paraID>
      <start>135</start>
      <end>136</end>
      <status>modified</status>
      <modifiedWord>—</modifiedWord>
      <trackRevisions>false</trackRevisions>
    </reviewItem>
    <reviewItem>
      <errorID>f83ffdc4-22fb-43d1-a71a-12ed8779b96d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32DDB4C8</paraID>
      <start>132</start>
      <end>133</end>
      <status>modified</status>
      <modifiedWord>—</modifiedWord>
      <trackRevisions>false</trackRevisions>
    </reviewItem>
    <reviewItem>
      <errorID>138e77f1-6ff4-42e4-8bf9-049641bbbb92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32DDB4C8</paraID>
      <start>139</start>
      <end>140</end>
      <status>modified</status>
      <modifiedWord>—</modifiedWord>
      <trackRevisions>false</trackRevisions>
    </reviewItem>
    <reviewItem>
      <errorID>b305d793-6e67-4a34-aafb-af4b19bab4df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64D26D39</paraID>
      <start>130</start>
      <end>131</end>
      <status>modified</status>
      <modifiedWord>—</modifiedWord>
      <trackRevisions>false</trackRevisions>
    </reviewItem>
    <reviewItem>
      <errorID>6a5314e5-7a53-4db5-867b-398f63e6da46</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64D26D39</paraID>
      <start>137</start>
      <end>138</end>
      <status>modified</status>
      <modifiedWord>—</modifiedWord>
      <trackRevisions>false</trackRevisions>
    </reviewItem>
    <reviewItem>
      <errorID>01c3da45-3c59-4b46-874c-e5d5279938c3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646164E1</paraID>
      <start>118</start>
      <end>119</end>
      <status>modified</status>
      <modifiedWord>—</modifiedWord>
      <trackRevisions>false</trackRevisions>
    </reviewItem>
    <reviewItem>
      <errorID>5093ba5f-2546-4112-afe0-2c25d24c4992</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646164E1</paraID>
      <start>125</start>
      <end>126</end>
      <status>modified</status>
      <modifiedWord>—</modifiedWord>
      <trackRevisions>false</trackRevisions>
    </reviewItem>
    <reviewItem>
      <errorID>f2644e04-6472-418e-9cc9-bf6088633eaa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1073AAB8</paraID>
      <start>122</start>
      <end>123</end>
      <status>modified</status>
      <modifiedWord>—</modifiedWord>
      <trackRevisions>false</trackRevisions>
    </reviewItem>
    <reviewItem>
      <errorID>fb74fdd0-e77e-4d1d-95e6-2448ffcc01b0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1073AAB8</paraID>
      <start>129</start>
      <end>130</end>
      <status>modified</status>
      <modifiedWord>—</modifiedWord>
      <trackRevisions>false</trackRevisions>
    </reviewItem>
    <reviewItem>
      <errorID>2669c74e-e98c-4ba3-a618-3e7373152cbf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28D85C58</paraID>
      <start>123</start>
      <end>124</end>
      <status>modified</status>
      <modifiedWord>—</modifiedWord>
      <trackRevisions>false</trackRevisions>
    </reviewItem>
    <reviewItem>
      <errorID>733681d2-b52a-4ba9-b602-3cbeee155938</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28D85C58</paraID>
      <start>130</start>
      <end>131</end>
      <status>modified</status>
      <modifiedWord>—</modifiedWord>
      <trackRevisions>false</trackRevisions>
    </reviewItem>
    <reviewItem>
      <errorID>a90d9790-9779-4432-9ef6-2c56838babbd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6CCFBA82</paraID>
      <start>136</start>
      <end>137</end>
      <status>modified</status>
      <modifiedWord>—</modifiedWord>
      <trackRevisions>false</trackRevisions>
    </reviewItem>
    <reviewItem>
      <errorID>bffbb9ef-609d-46b2-bb11-3eca1fa2370d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6CCFBA82</paraID>
      <start>143</start>
      <end>144</end>
      <status>modified</status>
      <modifiedWord>—</modifiedWord>
      <trackRevisions>false</trackRevisions>
    </reviewItem>
    <reviewItem>
      <errorID>02feec06-5162-432e-9e2c-3bba6688ebce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CC66600</paraID>
      <start>157</start>
      <end>158</end>
      <status>modified</status>
      <modifiedWord>—</modifiedWord>
      <trackRevisions>false</trackRevisions>
    </reviewItem>
    <reviewItem>
      <errorID>45f67796-2953-474e-9449-574284e0682a</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CC66600</paraID>
      <start>164</start>
      <end>165</end>
      <status>modified</status>
      <modifiedWord>—</modifiedWord>
      <trackRevisions>false</trackRevisions>
    </reviewItem>
    <reviewItem>
      <errorID>32eb759c-04d2-4e58-af86-4d028d66cc0d</errorID>
      <errorWord>，，</errorWord>
      <group>L1_Punc</group>
      <groupName>标点问题</groupName>
      <ability>L2_Punc_CN</ability>
      <abilityName>标点符号问题</abilityName>
      <candidateList>
        <item>，</item>
      </candidateList>
      <explain/>
      <paraID>7478008A</paraID>
      <start>63</start>
      <end>64</end>
      <status>modified</status>
      <modifiedWord>，</modifiedWord>
      <trackRevisions>false</trackRevisions>
    </reviewItem>
    <reviewItem>
      <errorID>df487420-3bf9-4e74-8f74-88a277e56baa</errorID>
      <errorWord>二期</errorWord>
      <group>L1_Word</group>
      <groupName>字词问题</groupName>
      <ability>L2_Typo</ability>
      <abilityName>字词错误</abilityName>
      <candidateList>
        <item>两期</item>
      </candidateList>
      <explain/>
      <paraID>7839DEF1</paraID>
      <start>1</start>
      <end>3</end>
      <status>ignored</status>
      <modifiedWord/>
      <trackRevisions>false</trackRevisions>
    </reviewItem>
    <reviewItem>
      <errorID>59b6f967-ac04-4f2d-8588-30c9bda385ad</errorID>
      <errorWord>满</errorWord>
      <group>L1_Word</group>
      <groupName>字词问题</groupName>
      <ability>L2_Typo</ability>
      <abilityName>字词错误</abilityName>
      <candidateList>
        <item>满后</item>
      </candidateList>
      <explain/>
      <paraID>7AF0441D</paraID>
      <start>6</start>
      <end>8</end>
      <status>modified</status>
      <modifiedWord>满后</modifiedWord>
      <trackRevisions>false</trackRevisions>
    </reviewItem>
    <reviewItem>
      <errorID>ea1dfba5-948a-496e-b324-5f9f0a9a7ea6</errorID>
      <errorWord>隐形收费</errorWord>
      <group>L1_Word</group>
      <groupName>字词问题</groupName>
      <ability>L2_Typo</ability>
      <abilityName>字词错误</abilityName>
      <candidateList>
        <item>隐性收费</item>
      </candidateList>
      <explain/>
      <paraID>21F34DB0</paraID>
      <start>24</start>
      <end>28</end>
      <status>modified</status>
      <modifiedWord>隐性收费</modifiedWord>
      <trackRevisions>false</trackRevisions>
    </reviewItem>
    <reviewItem>
      <errorID>093449e8-17f8-41df-ad2d-d18d89c4b8a5</errorID>
      <errorWord>(</errorWord>
      <group>L1_Format</group>
      <groupName>格式问题</groupName>
      <ability>L2_HalfPunc_CN</ability>
      <abilityName>全半角问题</abilityName>
      <candidateList>
        <item>（</item>
      </candidateList>
      <explain>文本全半角错误。</explain>
      <paraID>45A139CB</paraID>
      <start>2</start>
      <end>3</end>
      <status>modified</status>
      <modifiedWord>（</modifiedWord>
      <trackRevisions>false</trackRevisions>
    </reviewItem>
    <reviewItem>
      <errorID>bf0f4013-d8fd-4e10-890c-dda7db187ffd</errorID>
      <errorWord>)</errorWord>
      <group>L1_Format</group>
      <groupName>格式问题</groupName>
      <ability>L2_HalfPunc_CN</ability>
      <abilityName>全半角问题</abilityName>
      <candidateList>
        <item>）</item>
      </candidateList>
      <explain>文本全半角错误。</explain>
      <paraID>45A139CB</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48ED7E-307F-4428-8ABC-E0C776A114E9}">
  <ds:schemaRefs/>
</ds:datastoreItem>
</file>

<file path=docProps/app.xml><?xml version="1.0" encoding="utf-8"?>
<Properties xmlns="http://schemas.openxmlformats.org/officeDocument/2006/extended-properties" xmlns:vt="http://schemas.openxmlformats.org/officeDocument/2006/docPropsVTypes">
  <Template>Normal.dotm</Template>
  <Pages>24</Pages>
  <Words>4814</Words>
  <Characters>4898</Characters>
  <Lines>84</Lines>
  <Paragraphs>23</Paragraphs>
  <TotalTime>0</TotalTime>
  <ScaleCrop>false</ScaleCrop>
  <LinksUpToDate>false</LinksUpToDate>
  <CharactersWithSpaces>4910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2026-08-04T07:02:00Z</dcterms:created>
  <dc:creator>pingan</dc:creator>
  <cp:lastModifiedBy>Crixus、</cp:lastModifiedBy>
  <dcterms:modified xsi:type="dcterms:W3CDTF">2026-08-10T02:13:00Z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eyJoZGlkIjoiY2NmYTI1OTQwZDUyNjVlNmEzYWQwMTc2ZGNmZDZiMTciLCJ1c2VySWQiOiIyNzc0MjY3NjYifQ==</vt:lpwstr>
  </property>
  <property fmtid="{D5CDD505-2E9C-101B-9397-08002B2CF9AE}" pid="4" name="ICV">
    <vt:lpwstr>FC898BAD375545E9BB89BA38CFA3C07B_13</vt:lpwstr>
  </property>
</Properties>
</file>